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11)*</w:t>
      </w:r>
    </w:p>
    <w:p>
      <w:pPr>
        <w:spacing w:after="0" w:line="17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Cumberland Pharmaceuticals Inc.</w:t>
      </w:r>
    </w:p>
    <w:p>
      <w:pPr>
        <w:spacing w:after="0" w:line="5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230770109</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(CUSIP Number)</w:t>
      </w:r>
    </w:p>
    <w:p>
      <w:pPr>
        <w:spacing w:after="0" w:line="3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(Date of Event Which Requires Filing of this Statement)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71" w:lineRule="exact"/>
        <w:rPr>
          <w:sz w:val="24"/>
          <w:szCs w:val="24"/>
          <w:color w:val="auto"/>
        </w:rPr>
      </w:pPr>
    </w:p>
    <w:p>
      <w:pPr>
        <w:jc w:val="both"/>
        <w:ind w:left="1020" w:right="9160"/>
        <w:spacing w:after="0" w:line="435" w:lineRule="auto"/>
        <w:rPr>
          <w:sz w:val="24"/>
          <w:szCs w:val="24"/>
          <w:color w:val="auto"/>
        </w:rPr>
      </w:pPr>
      <w:r>
        <w:rPr>
          <w:rFonts w:ascii="Times New Roman" w:cs="Times New Roman" w:eastAsia="Times New Roman" w:hAnsi="Times New Roman"/>
          <w:sz w:val="18"/>
          <w:szCs w:val="18"/>
          <w:color w:val="auto"/>
        </w:rPr>
        <w:t>Rule 13d-1(b) Rule 13d-1(c)</w:t>
      </w:r>
    </w:p>
    <w:p>
      <w:pPr>
        <w:spacing w:after="0" w:line="1" w:lineRule="exact"/>
        <w:rPr>
          <w:sz w:val="24"/>
          <w:szCs w:val="24"/>
          <w:color w:val="auto"/>
        </w:rPr>
      </w:pPr>
    </w:p>
    <w:p>
      <w:pPr>
        <w:ind w:left="820"/>
        <w:spacing w:after="0"/>
        <w:rPr>
          <w:sz w:val="20"/>
          <w:szCs w:val="20"/>
          <w:color w:val="auto"/>
        </w:rPr>
      </w:pPr>
      <w:r>
        <w:rPr>
          <w:rFonts w:ascii="Arial" w:cs="Arial" w:eastAsia="Arial" w:hAnsi="Arial"/>
          <w:sz w:val="18"/>
          <w:szCs w:val="18"/>
          <w:color w:val="auto"/>
        </w:rPr>
        <w:t xml:space="preserve">x </w:t>
      </w:r>
      <w:r>
        <w:rPr>
          <w:rFonts w:ascii="Times New Roman" w:cs="Times New Roman" w:eastAsia="Times New Roman" w:hAnsi="Times New Roman"/>
          <w:sz w:val="18"/>
          <w:szCs w:val="18"/>
          <w:color w:val="auto"/>
        </w:rPr>
        <w:t>Rule 13d-1(d)</w:t>
      </w:r>
    </w:p>
    <w:p>
      <w:pPr>
        <w:spacing w:after="0" w:line="337" w:lineRule="exact"/>
        <w:rPr>
          <w:sz w:val="24"/>
          <w:szCs w:val="24"/>
          <w:color w:val="auto"/>
        </w:rPr>
      </w:pPr>
    </w:p>
    <w:p>
      <w:pPr>
        <w:ind w:left="260" w:right="120" w:hanging="234"/>
        <w:spacing w:after="0" w:line="237" w:lineRule="auto"/>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1037" w:right="379" w:bottom="1440" w:gutter="0" w:footer="0" w:header="0"/>
        </w:sectPr>
      </w:pPr>
    </w:p>
    <w:bookmarkStart w:id="1" w:name="page2"/>
    <w:bookmarkEnd w:id="1"/>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spacing w:after="0"/>
              <w:rPr>
                <w:sz w:val="22"/>
                <w:szCs w:val="22"/>
                <w:color w:val="auto"/>
              </w:rPr>
            </w:pPr>
          </w:p>
        </w:tc>
        <w:tc>
          <w:tcPr>
            <w:tcW w:w="620" w:type="dxa"/>
            <w:vAlign w:val="bottom"/>
            <w:tcBorders>
              <w:top w:val="single" w:sz="8" w:color="auto"/>
              <w:right w:val="single" w:sz="8" w:color="auto"/>
            </w:tcBorders>
          </w:tcPr>
          <w:p>
            <w:pPr>
              <w:spacing w:after="0"/>
              <w:rPr>
                <w:sz w:val="22"/>
                <w:szCs w:val="22"/>
                <w:color w:val="auto"/>
              </w:rPr>
            </w:pPr>
          </w:p>
        </w:tc>
        <w:tc>
          <w:tcPr>
            <w:tcW w:w="10400" w:type="dxa"/>
            <w:vAlign w:val="bottom"/>
            <w:tcBorders>
              <w:top w:val="single" w:sz="8" w:color="auto"/>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w:t>
            </w:r>
          </w:p>
        </w:tc>
        <w:tc>
          <w:tcPr>
            <w:tcW w:w="6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A.J. Kazimi</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 Not applicable</w:t>
            </w:r>
          </w:p>
        </w:tc>
        <w:tc>
          <w:tcPr>
            <w:tcW w:w="0" w:type="dxa"/>
            <w:vAlign w:val="bottom"/>
          </w:tcPr>
          <w:p>
            <w:pPr>
              <w:spacing w:after="0"/>
              <w:rPr>
                <w:sz w:val="1"/>
                <w:szCs w:val="1"/>
                <w:color w:val="auto"/>
              </w:rPr>
            </w:pPr>
          </w:p>
        </w:tc>
      </w:tr>
      <w:tr>
        <w:trPr>
          <w:trHeight w:val="279"/>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w:t>
            </w:r>
          </w:p>
        </w:tc>
        <w:tc>
          <w:tcPr>
            <w:tcW w:w="620" w:type="dxa"/>
            <w:vAlign w:val="bottom"/>
            <w:tcBorders>
              <w:right w:val="single" w:sz="8" w:color="auto"/>
            </w:tcBorders>
          </w:tcPr>
          <w:p>
            <w:pPr>
              <w:spacing w:after="0"/>
              <w:rPr>
                <w:sz w:val="20"/>
                <w:szCs w:val="20"/>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40" w:type="dxa"/>
            <w:vAlign w:val="bottom"/>
            <w:tcBorders>
              <w:left w:val="single" w:sz="8" w:color="auto"/>
              <w:bottom w:val="single" w:sz="8" w:color="auto"/>
            </w:tcBorders>
            <w:vMerge w:val="continue"/>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3</w:t>
            </w:r>
          </w:p>
        </w:tc>
        <w:tc>
          <w:tcPr>
            <w:tcW w:w="620" w:type="dxa"/>
            <w:vAlign w:val="bottom"/>
            <w:tcBorders>
              <w:right w:val="single" w:sz="8" w:color="auto"/>
            </w:tcBorders>
          </w:tcPr>
          <w:p>
            <w:pPr>
              <w:spacing w:after="0"/>
              <w:rPr>
                <w:sz w:val="19"/>
                <w:szCs w:val="19"/>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w w:val="96"/>
              </w:rPr>
              <w:t>SEC USE ONLY</w:t>
            </w:r>
          </w:p>
        </w:tc>
        <w:tc>
          <w:tcPr>
            <w:tcW w:w="8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40" w:type="dxa"/>
            <w:vAlign w:val="bottom"/>
            <w:tcBorders>
              <w:left w:val="single" w:sz="8" w:color="auto"/>
              <w:bottom w:val="single" w:sz="8" w:color="auto"/>
            </w:tcBorders>
            <w:vMerge w:val="continue"/>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33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4</w:t>
            </w:r>
          </w:p>
        </w:tc>
        <w:tc>
          <w:tcPr>
            <w:tcW w:w="6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38"/>
        </w:trPr>
        <w:tc>
          <w:tcPr>
            <w:tcW w:w="240" w:type="dxa"/>
            <w:vAlign w:val="bottom"/>
            <w:tcBorders>
              <w:left w:val="single" w:sz="8" w:color="auto"/>
            </w:tcBorders>
          </w:tcPr>
          <w:p>
            <w:pPr>
              <w:spacing w:after="0"/>
              <w:rPr>
                <w:sz w:val="24"/>
                <w:szCs w:val="24"/>
                <w:color w:val="auto"/>
              </w:rPr>
            </w:pPr>
          </w:p>
        </w:tc>
        <w:tc>
          <w:tcPr>
            <w:tcW w:w="154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5,793,069</w:t>
            </w:r>
          </w:p>
        </w:tc>
        <w:tc>
          <w:tcPr>
            <w:tcW w:w="0" w:type="dxa"/>
            <w:vAlign w:val="bottom"/>
          </w:tcPr>
          <w:p>
            <w:pPr>
              <w:spacing w:after="0"/>
              <w:rPr>
                <w:sz w:val="1"/>
                <w:szCs w:val="1"/>
                <w:color w:val="auto"/>
              </w:rPr>
            </w:pPr>
          </w:p>
        </w:tc>
      </w:tr>
      <w:tr>
        <w:trPr>
          <w:trHeight w:val="88"/>
        </w:trPr>
        <w:tc>
          <w:tcPr>
            <w:tcW w:w="240" w:type="dxa"/>
            <w:vAlign w:val="bottom"/>
            <w:tcBorders>
              <w:left w:val="single" w:sz="8" w:color="auto"/>
            </w:tcBorders>
          </w:tcPr>
          <w:p>
            <w:pPr>
              <w:spacing w:after="0"/>
              <w:rPr>
                <w:sz w:val="7"/>
                <w:szCs w:val="7"/>
                <w:color w:val="auto"/>
              </w:rPr>
            </w:pPr>
          </w:p>
        </w:tc>
        <w:tc>
          <w:tcPr>
            <w:tcW w:w="154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5"/>
                <w:szCs w:val="15"/>
                <w:color w:val="auto"/>
              </w:rPr>
            </w:pPr>
          </w:p>
        </w:tc>
        <w:tc>
          <w:tcPr>
            <w:tcW w:w="28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00" w:type="dxa"/>
            <w:vAlign w:val="bottom"/>
          </w:tcPr>
          <w:p>
            <w:pPr>
              <w:spacing w:after="0"/>
              <w:rPr>
                <w:sz w:val="15"/>
                <w:szCs w:val="15"/>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130"/>
              <w:spacing w:after="0" w:line="156" w:lineRule="exact"/>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0" w:type="dxa"/>
            <w:vAlign w:val="bottom"/>
            <w:tcBorders>
              <w:left w:val="single" w:sz="8" w:color="auto"/>
            </w:tcBorders>
          </w:tcPr>
          <w:p>
            <w:pPr>
              <w:spacing w:after="0"/>
              <w:rPr>
                <w:sz w:val="13"/>
                <w:szCs w:val="13"/>
                <w:color w:val="auto"/>
              </w:rPr>
            </w:pPr>
          </w:p>
        </w:tc>
        <w:tc>
          <w:tcPr>
            <w:tcW w:w="1540" w:type="dxa"/>
            <w:vAlign w:val="bottom"/>
            <w:tcBorders>
              <w:right w:val="single" w:sz="8" w:color="auto"/>
            </w:tcBorders>
            <w:gridSpan w:val="2"/>
          </w:tcPr>
          <w:p>
            <w:pPr>
              <w:jc w:val="center"/>
              <w:ind w:right="150"/>
              <w:spacing w:after="0" w:line="156"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240" w:type="dxa"/>
            <w:vAlign w:val="bottom"/>
            <w:tcBorders>
              <w:left w:val="single" w:sz="8" w:color="auto"/>
            </w:tcBorders>
          </w:tcPr>
          <w:p>
            <w:pPr>
              <w:spacing w:after="0"/>
              <w:rPr>
                <w:sz w:val="10"/>
                <w:szCs w:val="10"/>
                <w:color w:val="auto"/>
              </w:rPr>
            </w:pPr>
          </w:p>
        </w:tc>
        <w:tc>
          <w:tcPr>
            <w:tcW w:w="1540" w:type="dxa"/>
            <w:vAlign w:val="bottom"/>
            <w:tcBorders>
              <w:right w:val="single" w:sz="8" w:color="auto"/>
            </w:tcBorders>
            <w:gridSpan w:val="2"/>
            <w:vMerge w:val="restart"/>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tcBorders>
              <w:left w:val="single" w:sz="8" w:color="auto"/>
            </w:tcBorders>
          </w:tcPr>
          <w:p>
            <w:pPr>
              <w:spacing w:after="0"/>
              <w:rPr>
                <w:sz w:val="4"/>
                <w:szCs w:val="4"/>
                <w:color w:val="auto"/>
              </w:rPr>
            </w:pPr>
          </w:p>
        </w:tc>
        <w:tc>
          <w:tcPr>
            <w:tcW w:w="154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PERSON</w:t>
            </w:r>
          </w:p>
        </w:tc>
        <w:tc>
          <w:tcPr>
            <w:tcW w:w="200" w:type="dxa"/>
            <w:vAlign w:val="bottom"/>
          </w:tcPr>
          <w:p>
            <w:pPr>
              <w:spacing w:after="0"/>
              <w:rPr>
                <w:sz w:val="19"/>
                <w:szCs w:val="19"/>
                <w:color w:val="auto"/>
              </w:rPr>
            </w:pPr>
          </w:p>
        </w:tc>
        <w:tc>
          <w:tcPr>
            <w:tcW w:w="2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00" w:type="dxa"/>
            <w:vAlign w:val="bottom"/>
          </w:tcPr>
          <w:p>
            <w:pPr>
              <w:spacing w:after="0"/>
              <w:rPr>
                <w:sz w:val="19"/>
                <w:szCs w:val="19"/>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5,793,069</w:t>
            </w:r>
          </w:p>
        </w:tc>
        <w:tc>
          <w:tcPr>
            <w:tcW w:w="0" w:type="dxa"/>
            <w:vAlign w:val="bottom"/>
          </w:tcPr>
          <w:p>
            <w:pPr>
              <w:spacing w:after="0"/>
              <w:rPr>
                <w:sz w:val="1"/>
                <w:szCs w:val="1"/>
                <w:color w:val="auto"/>
              </w:rPr>
            </w:pPr>
          </w:p>
        </w:tc>
      </w:tr>
      <w:tr>
        <w:trPr>
          <w:trHeight w:val="54"/>
        </w:trPr>
        <w:tc>
          <w:tcPr>
            <w:tcW w:w="240" w:type="dxa"/>
            <w:vAlign w:val="bottom"/>
            <w:tcBorders>
              <w:left w:val="single" w:sz="8" w:color="auto"/>
            </w:tcBorders>
          </w:tcPr>
          <w:p>
            <w:pPr>
              <w:spacing w:after="0"/>
              <w:rPr>
                <w:sz w:val="4"/>
                <w:szCs w:val="4"/>
                <w:color w:val="auto"/>
              </w:rPr>
            </w:pPr>
          </w:p>
        </w:tc>
        <w:tc>
          <w:tcPr>
            <w:tcW w:w="1540" w:type="dxa"/>
            <w:vAlign w:val="bottom"/>
            <w:tcBorders>
              <w:right w:val="single" w:sz="8" w:color="auto"/>
            </w:tcBorders>
            <w:gridSpan w:val="2"/>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1540" w:type="dxa"/>
            <w:vAlign w:val="bottom"/>
            <w:tcBorders>
              <w:right w:val="single" w:sz="8" w:color="auto"/>
            </w:tcBorders>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24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24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0"/>
              </w:rPr>
              <w:t>AGGREGATE</w:t>
            </w:r>
          </w:p>
        </w:tc>
        <w:tc>
          <w:tcPr>
            <w:tcW w:w="9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33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9</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5,793,069</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33"/>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33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37.65%</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33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2 of 5 pages</w:t>
      </w:r>
    </w:p>
    <w:p>
      <w:pPr>
        <w:sectPr>
          <w:pgSz w:w="11900" w:h="16838" w:orient="portrait"/>
          <w:cols w:equalWidth="0" w:num="1">
            <w:col w:w="11260"/>
          </w:cols>
          <w:pgMar w:left="320" w:top="144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940" w:hanging="469"/>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333"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Pharmaceuticals Inc.</w:t>
      </w:r>
    </w:p>
    <w:p>
      <w:pPr>
        <w:spacing w:after="0" w:line="333" w:lineRule="exact"/>
        <w:rPr>
          <w:rFonts w:ascii="Times New Roman" w:cs="Times New Roman" w:eastAsia="Times New Roman" w:hAnsi="Times New Roman"/>
          <w:sz w:val="18"/>
          <w:szCs w:val="18"/>
          <w:color w:val="auto"/>
        </w:rPr>
      </w:pPr>
    </w:p>
    <w:p>
      <w:pPr>
        <w:ind w:left="940" w:hanging="469"/>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3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2525 West End Avenue, Suite 950, Nashville, TN 37203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940" w:right="7579" w:hanging="469"/>
        <w:spacing w:after="0" w:line="633"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A.J. Kazimi</w:t>
      </w:r>
    </w:p>
    <w:p>
      <w:pPr>
        <w:spacing w:after="0" w:line="1" w:lineRule="exact"/>
        <w:rPr>
          <w:rFonts w:ascii="Times New Roman" w:cs="Times New Roman" w:eastAsia="Times New Roman" w:hAnsi="Times New Roman"/>
          <w:sz w:val="18"/>
          <w:szCs w:val="18"/>
          <w:color w:val="auto"/>
        </w:rPr>
      </w:pPr>
    </w:p>
    <w:p>
      <w:pPr>
        <w:ind w:left="940" w:right="4939" w:hanging="469"/>
        <w:spacing w:after="0" w:line="662"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 2525 West End Avenue, Suite 950, Nashville, TN 37203</w:t>
      </w:r>
    </w:p>
    <w:p>
      <w:pPr>
        <w:spacing w:after="0" w:line="1" w:lineRule="exact"/>
        <w:rPr>
          <w:rFonts w:ascii="Times New Roman" w:cs="Times New Roman" w:eastAsia="Times New Roman" w:hAnsi="Times New Roman"/>
          <w:sz w:val="17"/>
          <w:szCs w:val="17"/>
          <w:color w:val="auto"/>
        </w:rPr>
      </w:pPr>
    </w:p>
    <w:p>
      <w:pPr>
        <w:ind w:left="940" w:right="8239" w:hanging="469"/>
        <w:spacing w:after="0" w:line="671"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United States</w:t>
      </w:r>
    </w:p>
    <w:p>
      <w:pPr>
        <w:ind w:left="940" w:right="7299" w:hanging="469"/>
        <w:spacing w:after="0" w:line="626"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ind w:left="940" w:hanging="469"/>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3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230770109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940" w:right="7159" w:hanging="469"/>
        <w:spacing w:after="0" w:line="633"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5,793,069</w:t>
      </w:r>
    </w:p>
    <w:p>
      <w:pPr>
        <w:spacing w:after="0" w:line="1" w:lineRule="exact"/>
        <w:rPr>
          <w:rFonts w:ascii="Times New Roman" w:cs="Times New Roman" w:eastAsia="Times New Roman" w:hAnsi="Times New Roman"/>
          <w:sz w:val="18"/>
          <w:szCs w:val="18"/>
          <w:color w:val="auto"/>
        </w:rPr>
      </w:pPr>
    </w:p>
    <w:p>
      <w:pPr>
        <w:ind w:left="940" w:right="8039" w:hanging="469"/>
        <w:spacing w:after="0" w:line="555"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37.65%</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3 of 5 pages</w:t>
      </w:r>
    </w:p>
    <w:p>
      <w:pPr>
        <w:sectPr>
          <w:pgSz w:w="11900" w:h="16838" w:orient="portrait"/>
          <w:cols w:equalWidth="0" w:num="1">
            <w:col w:w="10139"/>
          </w:cols>
          <w:pgMar w:left="320" w:top="1332" w:right="1440" w:bottom="1440" w:gutter="0" w:footer="0" w:header="0"/>
        </w:sectPr>
      </w:pPr>
    </w:p>
    <w:bookmarkStart w:id="3" w:name="page4"/>
    <w:bookmarkEnd w:id="3"/>
    <w:p>
      <w:pPr>
        <w:ind w:left="940" w:hanging="469"/>
        <w:spacing w:after="0"/>
        <w:tabs>
          <w:tab w:leader="none" w:pos="9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333" w:lineRule="exact"/>
        <w:rPr>
          <w:rFonts w:ascii="Times New Roman" w:cs="Times New Roman" w:eastAsia="Times New Roman" w:hAnsi="Times New Roman"/>
          <w:sz w:val="18"/>
          <w:szCs w:val="18"/>
          <w:color w:val="auto"/>
        </w:rPr>
      </w:pPr>
    </w:p>
    <w:p>
      <w:pPr>
        <w:ind w:left="380" w:right="7200" w:hanging="273"/>
        <w:spacing w:after="0" w:line="633" w:lineRule="auto"/>
        <w:tabs>
          <w:tab w:leader="none" w:pos="7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5,793,069</w:t>
      </w:r>
    </w:p>
    <w:p>
      <w:pPr>
        <w:spacing w:after="0" w:line="2" w:lineRule="exact"/>
        <w:rPr>
          <w:sz w:val="20"/>
          <w:szCs w:val="20"/>
          <w:color w:val="auto"/>
        </w:rPr>
      </w:pPr>
    </w:p>
    <w:p>
      <w:pPr>
        <w:ind w:left="1500" w:right="6260" w:hanging="583"/>
        <w:spacing w:after="0" w:line="62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None.</w:t>
      </w:r>
    </w:p>
    <w:p>
      <w:pPr>
        <w:ind w:left="120" w:right="6300" w:hanging="13"/>
        <w:spacing w:after="0" w:line="438" w:lineRule="auto"/>
        <w:tabs>
          <w:tab w:leader="none" w:pos="7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5,793,069</w:t>
      </w:r>
    </w:p>
    <w:p>
      <w:pPr>
        <w:spacing w:after="0" w:line="135" w:lineRule="exact"/>
        <w:rPr>
          <w:rFonts w:ascii="Times New Roman" w:cs="Times New Roman" w:eastAsia="Times New Roman" w:hAnsi="Times New Roman"/>
          <w:sz w:val="18"/>
          <w:szCs w:val="18"/>
          <w:color w:val="auto"/>
        </w:rPr>
      </w:pPr>
    </w:p>
    <w:p>
      <w:pPr>
        <w:ind w:left="1500" w:hanging="583"/>
        <w:spacing w:after="0"/>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3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7. Identification and Classification of the Subsidiary Which Acquired the Security Being Reported on By the Parent Holding Company </w:t>
      </w:r>
      <w:r>
        <w:rPr>
          <w:rFonts w:ascii="Times New Roman" w:cs="Times New Roman" w:eastAsia="Times New Roman" w:hAnsi="Times New Roman"/>
          <w:sz w:val="18"/>
          <w:szCs w:val="18"/>
          <w:color w:val="auto"/>
        </w:rPr>
        <w:t>Not applicable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4 of 5 pages</w:t>
      </w:r>
    </w:p>
    <w:p>
      <w:pPr>
        <w:sectPr>
          <w:pgSz w:w="11900" w:h="16838" w:orient="portrait"/>
          <w:cols w:equalWidth="0" w:num="1">
            <w:col w:w="10740"/>
          </w:cols>
          <w:pgMar w:left="320" w:top="1026" w:right="839" w:bottom="1440" w:gutter="0" w:footer="0" w:header="0"/>
        </w:sectPr>
      </w:pPr>
    </w:p>
    <w:bookmarkStart w:id="4" w:name="page5"/>
    <w:bookmarkEnd w:id="4"/>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February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185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Date</w:t>
      </w:r>
    </w:p>
    <w:p>
      <w:pPr>
        <w:spacing w:after="0" w:line="33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Signature</w:t>
      </w:r>
    </w:p>
    <w:p>
      <w:pPr>
        <w:spacing w:after="0" w:line="27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A.J. Kazimi,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185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980" w:right="720" w:hanging="4972"/>
        <w:spacing w:after="0" w:line="970" w:lineRule="auto"/>
        <w:tabs>
          <w:tab w:leader="none" w:pos="1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Michael Bonner, as attorney-in-fact, pursuant to a Power of Attorney dated April 26, 2016 and filed with the SEC on May 27, 2016. Page 5 of 5 pages</w:t>
      </w:r>
    </w:p>
    <w:sectPr>
      <w:pgSz w:w="11900" w:h="16838" w:orient="portrait"/>
      <w:cols w:equalWidth="0" w:num="1">
        <w:col w:w="10880"/>
      </w:cols>
      <w:pgMar w:left="320" w:top="1332"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lvl w:ilvl="1">
      <w:lvlJc w:val="left"/>
      <w:lvlText w:val="(%2)"/>
      <w:numFmt w:val="lowerLetter"/>
      <w:start w:val="3"/>
    </w:lvl>
  </w:abstractNum>
  <w:abstractNum w:abstractNumId="6">
    <w:nsid w:val="515F007C"/>
    <w:multiLevelType w:val="hybridMultilevel"/>
    <w:lvl w:ilvl="0">
      <w:lvlJc w:val="left"/>
      <w:lvlText w:val="(%1)"/>
      <w:numFmt w:val="lowerLetter"/>
      <w:start w:val="9"/>
    </w:lvl>
    <w:lvl w:ilvl="1">
      <w:lvlJc w:val="left"/>
      <w:lvlText w:val="%2"/>
      <w:numFmt w:val="lowerLetter"/>
      <w:start w:val="1"/>
    </w:lvl>
  </w:abstractNum>
  <w:abstractNum w:abstractNumId="7">
    <w:nsid w:val="5BD062C2"/>
    <w:multiLevelType w:val="hybridMultilevel"/>
    <w:lvl w:ilvl="0">
      <w:lvlJc w:val="left"/>
      <w:lvlText w:val="%1"/>
      <w:numFmt w:val="lowerRoman"/>
      <w:start w:val="1"/>
    </w:lvl>
    <w:lvl w:ilvl="1">
      <w:lvlJc w:val="left"/>
      <w:lvlText w:val="(%2)"/>
      <w:numFmt w:val="lowerRoman"/>
      <w:start w:val="2"/>
    </w:lvl>
  </w:abstractNum>
  <w:abstractNum w:abstractNumId="8">
    <w:nsid w:val="12200854"/>
    <w:multiLevelType w:val="hybridMultilevel"/>
    <w:lvl w:ilvl="0">
      <w:lvlJc w:val="left"/>
      <w:lvlText w:val="(%1)"/>
      <w:numFmt w:val="lowerRoman"/>
      <w:start w:val="3"/>
    </w:lvl>
    <w:lvl w:ilvl="1">
      <w:lvlJc w:val="left"/>
      <w:lvlText w:val="(%2)"/>
      <w:numFmt w:val="lowerRoman"/>
      <w:start w:val="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2021-02-12T16:17:51Z</dcterms:created>
  <dcterms:modified xsi:type="dcterms:W3CDTF">2021-02-12T16:17:51Z</dcterms:modified>
</cp:coreProperties>
</file>