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May 9, 2023 (May 9,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48"/>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On March 9, 2023, Cumberland Pharmaceuticals Inc. (the "Company") issued a press release which provided a company update and the financial results for the three months ended March 31, 2023. A copy of the press release is attached as </w:t>
      </w:r>
      <w:r>
        <w:rPr>
          <w:rFonts w:ascii="Arial" w:cs="Arial" w:eastAsia="Arial" w:hAnsi="Arial"/>
          <w:sz w:val="20"/>
          <w:szCs w:val="20"/>
          <w:u w:val="single" w:color="auto"/>
          <w:color w:val="0000FF"/>
        </w:rPr>
        <w:t>Exhibit 99.1</w:t>
      </w:r>
      <w:r>
        <w:rPr>
          <w:rFonts w:ascii="Arial" w:cs="Arial" w:eastAsia="Arial" w:hAnsi="Arial"/>
          <w:sz w:val="20"/>
          <w:szCs w:val="20"/>
          <w:color w:val="auto"/>
        </w:rPr>
        <w:t xml:space="preserve"> to this Current Report on Form 8-K and is incorporated by reference into this Item 2.02.</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Arial" w:cs="Arial" w:eastAsia="Arial" w:hAnsi="Arial"/>
                <w:sz w:val="18"/>
                <w:szCs w:val="18"/>
                <w:color w:val="0000FF"/>
              </w:rPr>
              <w:t>Press release dated March 9, 2023</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top w:val="single" w:sz="8" w:color="0000FF"/>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6960" w:type="dxa"/>
            <w:vAlign w:val="bottom"/>
            <w:gridSpan w:val="2"/>
          </w:tcPr>
          <w:p>
            <w:pPr>
              <w:ind w:left="278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00" w:type="dxa"/>
            <w:vAlign w:val="bottom"/>
          </w:tcPr>
          <w:p>
            <w:pPr>
              <w:spacing w:after="0"/>
              <w:rPr>
                <w:sz w:val="20"/>
                <w:szCs w:val="20"/>
                <w:color w:val="auto"/>
              </w:rPr>
            </w:pPr>
            <w:r>
              <w:rPr>
                <w:rFonts w:ascii="Arial" w:cs="Arial" w:eastAsia="Arial" w:hAnsi="Arial"/>
                <w:sz w:val="18"/>
                <w:szCs w:val="18"/>
                <w:color w:val="auto"/>
              </w:rPr>
              <w:t>Dated: May 9, 2023</w:t>
            </w:r>
          </w:p>
        </w:tc>
        <w:tc>
          <w:tcPr>
            <w:tcW w:w="4140" w:type="dxa"/>
            <w:vAlign w:val="bottom"/>
          </w:tcPr>
          <w:p>
            <w:pPr>
              <w:ind w:left="278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Cumberland Pharmaceuticals Reports First Quarter 2023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Results &amp; Company Update</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NASHVILLE, TENNESSEE (Tuesday, May 9, 2023) - Cumberland Pharmaceuticals Inc. (NASDAQ: CPIX)</w:t>
      </w:r>
      <w:r>
        <w:rPr>
          <w:rFonts w:ascii="Arial" w:cs="Arial" w:eastAsia="Arial" w:hAnsi="Arial"/>
          <w:sz w:val="22"/>
          <w:szCs w:val="22"/>
          <w:color w:val="auto"/>
        </w:rPr>
        <w:t>, 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today announced that the Company’s product portfolio of FDA-approved brands delivered combined revenues of $9.2 million during the first quarter of 2023. Net income for the period was $0.2 million, or $0.01 a share, resulting in adjusted earnings of $1.7 million, or $0.11 a share. The Company ended the first quarter with $89 million in total assets, $53 million in total liabilities, and $36 million of shareholders’ equity.</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 will report its first quarter 2023 financial results and provide a company update via a conference call and live internet webcast today at 4:30 p.m. Eastern Time.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“We are pleased to announce a steady start to 2023,” said Cumberland’s CEO, A.J. Kazimi. “As we continue to navigate through the many issues in our operating environment – supporting our patients and their quality of life is a top priority, as our team remains dedicated to delivering and developing high-quality medicines.”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w:t>
      </w:r>
      <w:r>
        <w:rPr>
          <w:rFonts w:ascii="Arial" w:cs="Arial" w:eastAsia="Arial" w:hAnsi="Arial"/>
          <w:sz w:val="22"/>
          <w:szCs w:val="22"/>
          <w:b w:val="1"/>
          <w:bCs w:val="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NOPAIN Act</w:t>
      </w:r>
    </w:p>
    <w:p>
      <w:pPr>
        <w:spacing w:after="0" w:line="150"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In April 2023, Cumberland announced that it expects its Caldolor</w:t>
      </w:r>
      <w:r>
        <w:rPr>
          <w:rFonts w:ascii="Arial" w:cs="Arial" w:eastAsia="Arial" w:hAnsi="Arial"/>
          <w:sz w:val="28"/>
          <w:szCs w:val="28"/>
          <w:color w:val="auto"/>
          <w:vertAlign w:val="superscript"/>
        </w:rPr>
        <w:t>®</w:t>
      </w:r>
      <w:r>
        <w:rPr>
          <w:rFonts w:ascii="Arial" w:cs="Arial" w:eastAsia="Arial" w:hAnsi="Arial"/>
          <w:sz w:val="22"/>
          <w:szCs w:val="22"/>
          <w:color w:val="auto"/>
        </w:rPr>
        <w:t xml:space="preserve"> product will be eligible for special Medicare reimbursement under the </w:t>
      </w:r>
      <w:r>
        <w:rPr>
          <w:rFonts w:ascii="Arial" w:cs="Arial" w:eastAsia="Arial" w:hAnsi="Arial"/>
          <w:sz w:val="22"/>
          <w:szCs w:val="22"/>
          <w:i w:val="1"/>
          <w:iCs w:val="1"/>
          <w:color w:val="auto"/>
        </w:rPr>
        <w:t>Non-Opioids Prevent Addiction in the Nation Act</w:t>
      </w:r>
      <w:r>
        <w:rPr>
          <w:rFonts w:ascii="Arial" w:cs="Arial" w:eastAsia="Arial" w:hAnsi="Arial"/>
          <w:sz w:val="22"/>
          <w:szCs w:val="22"/>
          <w:color w:val="auto"/>
        </w:rPr>
        <w:t xml:space="preserve"> (the “NOPAIN Act”), which was enacted as part of the Consolidated Appropriations Act of 2023.</w:t>
      </w:r>
    </w:p>
    <w:p>
      <w:pPr>
        <w:spacing w:after="0" w:line="13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The NOPAIN Act requires Medicare to provide separate reimbursement for non-opioid products that are used to manage pain during surgeries, conducted in outpatient hospital departments or in ambulatory surgical centers. The NOPAIN Act applies to products that are indicated to provide analgesia without acting upon the body’s opioid receptors. As a result, Cumberland expects that the NOPAIN Act will affect Medicare reimbursement for Caldolor, the Company’s non-opioid analgesic injection brand.</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FDA Fee Waiver</w:t>
      </w:r>
    </w:p>
    <w:p>
      <w:pPr>
        <w:spacing w:after="0" w:line="158"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In March 2023, the FDA informed Cumberland that it had granted a barrier-to-innovation waiver, which will result in a refund of nearly $2 million that the Company had previously paid for prescription drug program fees associated with its RediTrex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product line.</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FDA granted the barrier-to-innovation waiver after concluding that Cumberland met the statutory criteria, based on the innovation associated with Cumberland’s ifetroban clinical development programs. Cumberland’s request for the waiver provided the rationale that the funds could be better used to advance its clinical programs, which are designed to address a series of unmet medical needs.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New Office Headquarters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Cumberland has relocated its international headquarters to the Broadwest campus in the Vanderbilt/West End corridor of Nashville. The new location allows Cumberland to maintain a strong presence in the Nashville healthcare community, which represents the nation’s largest concentration of healthcare companies.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International Updates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During the first quarter of 2023, the Company continued to support its international partners in their efforts to register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Cumberland products in their countries:</w:t>
      </w:r>
    </w:p>
    <w:p>
      <w:pPr>
        <w:spacing w:after="0" w:line="13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0000FF"/>
        </w:rPr>
        <w:t xml:space="preserve">PiSA Pharmaceutical </w:t>
      </w:r>
      <w:r>
        <w:rPr>
          <w:rFonts w:ascii="Arial" w:cs="Arial" w:eastAsia="Arial" w:hAnsi="Arial"/>
          <w:sz w:val="22"/>
          <w:szCs w:val="22"/>
          <w:color w:val="000000"/>
        </w:rPr>
        <w:t>is preparing its submission for distribution of Caldolor in Mexico.</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0000FF"/>
        </w:rPr>
        <w:t xml:space="preserve">Tabuk Pharmaceutical </w:t>
      </w:r>
      <w:r>
        <w:rPr>
          <w:rFonts w:ascii="Arial" w:cs="Arial" w:eastAsia="Arial" w:hAnsi="Arial"/>
          <w:sz w:val="19"/>
          <w:szCs w:val="19"/>
          <w:color w:val="000000"/>
        </w:rPr>
        <w:t>is updating the approval in Saudi Arabia in order to begin introducing Vibativ into the Middle East.</w:t>
      </w:r>
    </w:p>
    <w:p>
      <w:pPr>
        <w:spacing w:after="0" w:line="186" w:lineRule="exact"/>
        <w:rPr>
          <w:rFonts w:ascii="Arial" w:cs="Arial" w:eastAsia="Arial" w:hAnsi="Arial"/>
          <w:sz w:val="19"/>
          <w:szCs w:val="19"/>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0000FF"/>
        </w:rPr>
        <w:t xml:space="preserve">SciClone Pharmaceuticals </w:t>
      </w:r>
      <w:r>
        <w:rPr>
          <w:rFonts w:ascii="Arial" w:cs="Arial" w:eastAsia="Arial" w:hAnsi="Arial"/>
          <w:sz w:val="21"/>
          <w:szCs w:val="21"/>
          <w:color w:val="000000"/>
        </w:rPr>
        <w:t>continues to address regulatory inquiries, as it seeks approval for Vibativ in China.</w:t>
      </w:r>
    </w:p>
    <w:p>
      <w:pPr>
        <w:spacing w:after="0" w:line="163" w:lineRule="exact"/>
        <w:rPr>
          <w:rFonts w:ascii="Arial" w:cs="Arial" w:eastAsia="Arial" w:hAnsi="Arial"/>
          <w:sz w:val="21"/>
          <w:szCs w:val="21"/>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0000FF"/>
        </w:rPr>
        <w:t xml:space="preserve">DB Pharm Korea Co. Ltd. </w:t>
      </w:r>
      <w:r>
        <w:rPr>
          <w:rFonts w:ascii="Arial" w:cs="Arial" w:eastAsia="Arial" w:hAnsi="Arial"/>
          <w:sz w:val="21"/>
          <w:szCs w:val="21"/>
          <w:color w:val="000000"/>
        </w:rPr>
        <w:t>is working towards approval of Vibativ in South Korea, where it also distribute Caldolor.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Nordic Pharma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Agreement Restructured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2022, Cumberland restructured its agreement with Nordic Pharma, who previously provided Cumberland with the license for the U.S. rights associated with the RediTrex product line. Nordic will assume the responsibility for the product in the U.S. after June 30, 2023.</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Sancuso Acquisition</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During 2022, Cumberland announced its acquisition of the U.S. rights to oncology-supportive drug Sancuso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from the U.S. subsidiary of Kyowa Kirin, Inc., a Japan-based specialty pharmaceutical company. Sancuso is the first and only FDA-approved prescription patch that prevents nausea and vomiting in cancer patients receiving certain types of chemotherapy treatment. Through the acquisition, Cumberland obtained full commercial responsibility for Sancuso in the U.S., including its marketing, promotion, distribution and manufacturing. In late 2022, the FDA approved moving the product’s manufacturer to a new facility, which will be the source of future product supplies. The product continues to be a significant contributor to Cumberland’s business.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Clinical Development Program</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Cumberland continues to sponsor and progress three Phase II clinical programs featuring the Company’s ifetroban product candidate. These studies involve patients with:</w:t>
      </w:r>
    </w:p>
    <w:p>
      <w:pPr>
        <w:spacing w:after="0" w:line="10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Aspirin-Exacerbated Respiratory Disease</w:t>
      </w:r>
      <w:r>
        <w:rPr>
          <w:rFonts w:ascii="Arial" w:cs="Arial" w:eastAsia="Arial" w:hAnsi="Arial"/>
          <w:sz w:val="22"/>
          <w:szCs w:val="22"/>
          <w:color w:val="auto"/>
        </w:rPr>
        <w:t>, or AERD, a severe form of asthma;</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Systemic Sclerosis</w:t>
      </w:r>
      <w:r>
        <w:rPr>
          <w:rFonts w:ascii="Arial" w:cs="Arial" w:eastAsia="Arial" w:hAnsi="Arial"/>
          <w:sz w:val="22"/>
          <w:szCs w:val="22"/>
          <w:color w:val="auto"/>
        </w:rPr>
        <w:t>, a debilitating autoimmune disorder; and</w:t>
      </w:r>
    </w:p>
    <w:p>
      <w:pPr>
        <w:spacing w:after="0" w:line="138"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Duchenne Muscular Dystrophy</w:t>
      </w:r>
      <w:r>
        <w:rPr>
          <w:rFonts w:ascii="Arial" w:cs="Arial" w:eastAsia="Arial" w:hAnsi="Arial"/>
          <w:sz w:val="22"/>
          <w:szCs w:val="22"/>
          <w:color w:val="auto"/>
        </w:rPr>
        <w:t>, a genetic neuromuscular disease.</w:t>
      </w:r>
    </w:p>
    <w:p>
      <w:pPr>
        <w:spacing w:after="0" w:line="15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addition, Cumberland has been designing a fourth Phase II clinical program, which will evaluate the use of ifetroban to treat patients with Progressive Fibrosing Interstitial Lung Diseases.</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For the three months ended March 31, 2023, net revenues were $9.2 million.</w:t>
      </w:r>
    </w:p>
    <w:p>
      <w:pPr>
        <w:spacing w:after="0" w:line="150"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color w:val="auto"/>
        </w:rPr>
        <w:t>Net revenue by product for the first quarter of 2023, included $4.3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$1.9 million for Sancuso</w:t>
      </w:r>
      <w:r>
        <w:rPr>
          <w:rFonts w:ascii="Arial" w:cs="Arial" w:eastAsia="Arial" w:hAnsi="Arial"/>
          <w:sz w:val="28"/>
          <w:szCs w:val="28"/>
          <w:color w:val="auto"/>
          <w:vertAlign w:val="superscript"/>
        </w:rPr>
        <w:t>®</w:t>
      </w:r>
      <w:r>
        <w:rPr>
          <w:rFonts w:ascii="Arial" w:cs="Arial" w:eastAsia="Arial" w:hAnsi="Arial"/>
          <w:sz w:val="22"/>
          <w:szCs w:val="22"/>
          <w:color w:val="auto"/>
        </w:rPr>
        <w:t>, $1.8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$0.9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first quarter of 2023 were $10.8 million.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Net Income: </w:t>
      </w:r>
      <w:r>
        <w:rPr>
          <w:rFonts w:ascii="Arial" w:cs="Arial" w:eastAsia="Arial" w:hAnsi="Arial"/>
          <w:sz w:val="22"/>
          <w:szCs w:val="22"/>
          <w:color w:val="auto"/>
        </w:rPr>
        <w:t>The Net Income for the first quarter of 2023 was $0.2 million or $0.01 a share.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Adjusted earnings for the first quarter of 2023 were $1.7 million, or 0.11 per share.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adjusted earnings calculation does not include the benefit of the $0.2 million of Vibativ cost of goods, which were received with the product acquisition. It also does not include the benefit of the $0.3 million of Sancuso cost of goods, which were received with that product’s acquisition.</w:t>
      </w:r>
    </w:p>
    <w:p>
      <w:pPr>
        <w:spacing w:after="0" w:line="112"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March 31, 2023, Cumberland had $89 million in total assets, including $16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w:t>
      </w:r>
    </w:p>
    <w:p>
      <w:pPr>
        <w:spacing w:after="0" w:line="100"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Total liabilities were $53 million, including $16 million outstanding on the Company's revolving line of credit. Total shareholders' equity was $36 million.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REPORT CALL:</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A conference call will be held on May 9 at 4:30 p.m. Eastern Time, to discuss the results.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To participate in the call, please register at: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https://register.vevent.com/register/BI723fac45344448bbb1833dbb8fa667f3.</w:t>
      </w:r>
    </w:p>
    <w:p>
      <w:pPr>
        <w:spacing w:after="0" w:line="152"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3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replay of the call will be available for one year and can be accessed via Cumberland’s website or by visiting https://edge.media-server.com/mmc/p/mph53zt2.</w:t>
      </w:r>
    </w:p>
    <w:p>
      <w:pPr>
        <w:sectPr>
          <w:pgSz w:w="11900" w:h="16838" w:orient="portrait"/>
          <w:cols w:equalWidth="0" w:num="1">
            <w:col w:w="11240"/>
          </w:cols>
          <w:pgMar w:left="320" w:top="104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Cumberland Pharmaceuticals Inc. </w:t>
      </w:r>
      <w:r>
        <w:rPr>
          <w:rFonts w:ascii="Arial" w:cs="Arial" w:eastAsia="Arial" w:hAnsi="Arial"/>
          <w:sz w:val="19"/>
          <w:szCs w:val="19"/>
          <w:color w:val="auto"/>
        </w:rPr>
        <w:t>is the largest biopharmaceutical company founded and headquartered in Tennessee and is</w:t>
      </w:r>
      <w:r>
        <w:rPr>
          <w:rFonts w:ascii="Arial" w:cs="Arial" w:eastAsia="Arial" w:hAnsi="Arial"/>
          <w:sz w:val="19"/>
          <w:szCs w:val="19"/>
          <w:b w:val="1"/>
          <w:bCs w:val="1"/>
          <w:color w:val="auto"/>
        </w:rPr>
        <w:t xml:space="preserve"> </w:t>
      </w:r>
      <w:r>
        <w:rPr>
          <w:rFonts w:ascii="Arial" w:cs="Arial" w:eastAsia="Arial" w:hAnsi="Arial"/>
          <w:sz w:val="19"/>
          <w:szCs w:val="19"/>
          <w:color w:val="auto"/>
        </w:rPr>
        <w:t>focused on the delivery of high-quality, prescription brands designed to improve patient care. The company develops, acquires, and commercializes products for the hospital acute care, gastroenterology and oncology market segments.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40"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83" w:lineRule="exact"/>
        <w:rPr>
          <w:rFonts w:ascii="Arial" w:cs="Arial" w:eastAsia="Arial" w:hAnsi="Arial"/>
          <w:sz w:val="18"/>
          <w:szCs w:val="18"/>
          <w:b w:val="1"/>
          <w:bCs w:val="1"/>
          <w:color w:val="auto"/>
        </w:rPr>
      </w:pPr>
    </w:p>
    <w:p>
      <w:pPr>
        <w:ind w:left="560" w:hanging="309"/>
        <w:spacing w:after="0"/>
        <w:tabs>
          <w:tab w:leader="none" w:pos="5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83" w:lineRule="exact"/>
        <w:rPr>
          <w:rFonts w:ascii="Arial" w:cs="Arial" w:eastAsia="Arial" w:hAnsi="Arial"/>
          <w:sz w:val="22"/>
          <w:szCs w:val="22"/>
          <w:b w:val="1"/>
          <w:bCs w:val="1"/>
          <w:color w:val="auto"/>
        </w:rPr>
      </w:pPr>
    </w:p>
    <w:p>
      <w:pPr>
        <w:ind w:left="580" w:hanging="329"/>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oral, a prescription laxative, for the treatment of constipation;</w:t>
      </w:r>
    </w:p>
    <w:p>
      <w:pPr>
        <w:spacing w:after="0" w:line="75" w:lineRule="exact"/>
        <w:rPr>
          <w:rFonts w:ascii="Arial" w:cs="Arial" w:eastAsia="Arial" w:hAnsi="Arial"/>
          <w:sz w:val="18"/>
          <w:szCs w:val="18"/>
          <w:b w:val="1"/>
          <w:bCs w:val="1"/>
          <w:color w:val="auto"/>
        </w:rPr>
      </w:pPr>
    </w:p>
    <w:p>
      <w:pPr>
        <w:ind w:left="580" w:right="380" w:hanging="329"/>
        <w:spacing w:after="0" w:line="229" w:lineRule="auto"/>
        <w:tabs>
          <w:tab w:leader="none" w:pos="575"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oral,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12" w:lineRule="exact"/>
        <w:rPr>
          <w:rFonts w:ascii="Arial" w:cs="Arial" w:eastAsia="Arial" w:hAnsi="Arial"/>
          <w:sz w:val="18"/>
          <w:szCs w:val="18"/>
          <w:b w:val="1"/>
          <w:bCs w:val="1"/>
          <w:color w:val="auto"/>
        </w:rPr>
      </w:pPr>
    </w:p>
    <w:p>
      <w:pPr>
        <w:ind w:left="580" w:right="360" w:hanging="329"/>
        <w:spacing w:after="0" w:line="229" w:lineRule="auto"/>
        <w:tabs>
          <w:tab w:leader="none" w:pos="575"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26" w:lineRule="exact"/>
        <w:rPr>
          <w:rFonts w:ascii="Arial" w:cs="Arial" w:eastAsia="Arial" w:hAnsi="Arial"/>
          <w:sz w:val="18"/>
          <w:szCs w:val="18"/>
          <w:b w:val="1"/>
          <w:bCs w:val="1"/>
          <w:color w:val="auto"/>
        </w:rPr>
      </w:pPr>
    </w:p>
    <w:p>
      <w:pPr>
        <w:ind w:left="580" w:right="20" w:hanging="329"/>
        <w:spacing w:after="0" w:line="269" w:lineRule="auto"/>
        <w:tabs>
          <w:tab w:leader="none" w:pos="57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for the prevention of nausea and vomiting in patients receiving certain types of</w:t>
      </w:r>
      <w:r>
        <w:rPr>
          <w:rFonts w:ascii="Arial" w:cs="Arial" w:eastAsia="Arial" w:hAnsi="Arial"/>
          <w:sz w:val="22"/>
          <w:szCs w:val="22"/>
          <w:b w:val="1"/>
          <w:bCs w:val="1"/>
          <w:color w:val="auto"/>
        </w:rPr>
        <w:t xml:space="preserve"> </w:t>
      </w:r>
      <w:r>
        <w:rPr>
          <w:rFonts w:ascii="Arial" w:cs="Arial" w:eastAsia="Arial" w:hAnsi="Arial"/>
          <w:sz w:val="22"/>
          <w:szCs w:val="22"/>
          <w:color w:val="auto"/>
        </w:rPr>
        <w:t>chemotherapy treatment;</w:t>
      </w:r>
    </w:p>
    <w:p>
      <w:pPr>
        <w:spacing w:after="0" w:line="88" w:lineRule="exact"/>
        <w:rPr>
          <w:rFonts w:ascii="Arial" w:cs="Arial" w:eastAsia="Arial" w:hAnsi="Arial"/>
          <w:sz w:val="22"/>
          <w:szCs w:val="22"/>
          <w:color w:val="auto"/>
        </w:rPr>
      </w:pPr>
    </w:p>
    <w:p>
      <w:pPr>
        <w:ind w:left="580" w:right="380" w:hanging="329"/>
        <w:spacing w:after="0" w:line="226" w:lineRule="auto"/>
        <w:tabs>
          <w:tab w:leader="none" w:pos="575"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 and</w:t>
      </w:r>
    </w:p>
    <w:p>
      <w:pPr>
        <w:spacing w:after="0" w:line="120" w:lineRule="exact"/>
        <w:rPr>
          <w:rFonts w:ascii="Arial" w:cs="Arial" w:eastAsia="Arial" w:hAnsi="Arial"/>
          <w:sz w:val="18"/>
          <w:szCs w:val="18"/>
          <w:b w:val="1"/>
          <w:bCs w:val="1"/>
          <w:color w:val="auto"/>
        </w:rPr>
      </w:pPr>
    </w:p>
    <w:p>
      <w:pPr>
        <w:ind w:left="580" w:right="380" w:hanging="329"/>
        <w:spacing w:after="0" w:line="254" w:lineRule="auto"/>
        <w:tabs>
          <w:tab w:leader="none" w:pos="57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Systemic Sclerosis, and Aspirin-Exacerbated Respiratory Disease.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www.cumberlandpharma.com.</w:t>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www.acetadote.com.</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www.omeclamox.com.</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www.reditrex.com</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granisetron) Transdermal System</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ectPr>
          <w:pgSz w:w="11900" w:h="16838" w:orient="portrait"/>
          <w:cols w:equalWidth="0" w:num="1">
            <w:col w:w="11240"/>
          </w:cols>
          <w:pgMar w:left="320" w:top="103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EMERGING TECHNOLOGIES: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color w:val="0563C1"/>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399" w:lineRule="exact"/>
        <w:rPr>
          <w:sz w:val="20"/>
          <w:szCs w:val="20"/>
          <w:color w:val="auto"/>
        </w:rPr>
      </w:pPr>
    </w:p>
    <w:tbl>
      <w:tblPr>
        <w:tblLayout w:type="fixed"/>
        <w:tblInd w:w="189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Investor Contact: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Media Contact:</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Shayla Simpson</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Julia Motis</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Cumberland Pharmaceuticals Inc.</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(615) 255-0068</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(615) 515-4894</w:t>
            </w:r>
          </w:p>
        </w:tc>
      </w:tr>
      <w:tr>
        <w:trPr>
          <w:trHeight w:val="598"/>
        </w:trPr>
        <w:tc>
          <w:tcPr>
            <w:tcW w:w="2880" w:type="dxa"/>
            <w:vAlign w:val="bottom"/>
          </w:tcPr>
          <w:p>
            <w:pPr>
              <w:spacing w:after="0"/>
              <w:rPr>
                <w:sz w:val="24"/>
                <w:szCs w:val="24"/>
                <w:color w:val="auto"/>
              </w:rPr>
            </w:pPr>
          </w:p>
        </w:tc>
        <w:tc>
          <w:tcPr>
            <w:tcW w:w="4620" w:type="dxa"/>
            <w:vAlign w:val="bottom"/>
            <w:gridSpan w:val="2"/>
          </w:tcPr>
          <w:p>
            <w:pPr>
              <w:ind w:left="420"/>
              <w:spacing w:after="0"/>
              <w:rPr>
                <w:sz w:val="20"/>
                <w:szCs w:val="20"/>
                <w:color w:val="auto"/>
              </w:rPr>
            </w:pPr>
            <w:r>
              <w:rPr>
                <w:rFonts w:ascii="Arial" w:cs="Arial" w:eastAsia="Arial" w:hAnsi="Arial"/>
                <w:sz w:val="22"/>
                <w:szCs w:val="22"/>
                <w:color w:val="auto"/>
              </w:rPr>
              <w:t>- MORE -</w:t>
            </w:r>
          </w:p>
        </w:tc>
      </w:tr>
    </w:tbl>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16,386,166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14,529,133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13,163,681</w:t>
            </w: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10,180,002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9,863,581</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2,715,498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3,084,978</w:t>
            </w:r>
          </w:p>
        </w:tc>
      </w:tr>
      <w:tr>
        <w:trPr>
          <w:trHeight w:val="223"/>
        </w:trPr>
        <w:tc>
          <w:tcPr>
            <w:tcW w:w="7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43,810,799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45,870,210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7,534,303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7,527,167</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29,390,195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30,590,678</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4,919,057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5,218,403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2,545,424</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2,520,661</w:t>
            </w: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89,468,635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92,925,158</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10,819,011</w:t>
            </w: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158,369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172,910</w:t>
            </w: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14,326,712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17,587,911</w:t>
            </w: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25,707,414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28,579,832</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16,072,286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4,549,150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4,586,301</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7,091,298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7,585,019</w:t>
            </w:r>
          </w:p>
        </w:tc>
      </w:tr>
      <w:tr>
        <w:trPr>
          <w:trHeight w:val="223"/>
        </w:trPr>
        <w:tc>
          <w:tcPr>
            <w:tcW w:w="7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53,420,148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56,951,152</w:t>
            </w: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20" w:type="dxa"/>
            <w:vAlign w:val="bottom"/>
          </w:tcPr>
          <w:p>
            <w:pPr>
              <w:ind w:left="340"/>
              <w:spacing w:after="0" w:line="176" w:lineRule="exact"/>
              <w:rPr>
                <w:sz w:val="20"/>
                <w:szCs w:val="20"/>
                <w:color w:val="auto"/>
              </w:rPr>
            </w:pPr>
            <w:r>
              <w:rPr>
                <w:rFonts w:ascii="Arial" w:cs="Arial" w:eastAsia="Arial" w:hAnsi="Arial"/>
                <w:sz w:val="18"/>
                <w:szCs w:val="18"/>
                <w:color w:val="auto"/>
                <w:w w:val="94"/>
              </w:rPr>
              <w:t>Common stock—no par value; 100,000,000 shares authorized; 14,430,047 and 14,366,316</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20" w:type="dxa"/>
            <w:vAlign w:val="bottom"/>
          </w:tcPr>
          <w:p>
            <w:pPr>
              <w:ind w:left="340"/>
              <w:spacing w:after="0"/>
              <w:rPr>
                <w:sz w:val="20"/>
                <w:szCs w:val="20"/>
                <w:color w:val="auto"/>
              </w:rPr>
            </w:pPr>
            <w:r>
              <w:rPr>
                <w:rFonts w:ascii="Arial" w:cs="Arial" w:eastAsia="Arial" w:hAnsi="Arial"/>
                <w:sz w:val="18"/>
                <w:szCs w:val="18"/>
                <w:color w:val="auto"/>
                <w:w w:val="95"/>
              </w:rPr>
              <w:t>shares issued and outstanding as of March 31, 2023 and December 31, 2022, respectively</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47,377,168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47,474,973</w:t>
            </w: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(11,016,657)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(11,208,841)</w:t>
            </w:r>
          </w:p>
        </w:tc>
      </w:tr>
      <w:tr>
        <w:trPr>
          <w:trHeight w:val="223"/>
        </w:trPr>
        <w:tc>
          <w:tcPr>
            <w:tcW w:w="722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36,360,511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36,266,132</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(292,126)</w:t>
            </w:r>
          </w:p>
        </w:tc>
      </w:tr>
      <w:tr>
        <w:trPr>
          <w:trHeight w:val="223"/>
        </w:trPr>
        <w:tc>
          <w:tcPr>
            <w:tcW w:w="7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36,048,487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35,974,006</w:t>
            </w: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89,468,635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92,925,158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CUMBERLAND PHARMACEUTICALS INC. AND SUBSIDIARIES Condensed Consolidated Statements of Operations (Unaudited)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5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9,224,638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11,175,045</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1,250,264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2,211,885</w:t>
            </w: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4,277,318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4,614,429</w:t>
            </w: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1,499,670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1,745,136</w:t>
            </w: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2,498,993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2,302,349</w:t>
            </w: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1,230,071</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1,593,245</w:t>
            </w:r>
          </w:p>
        </w:tc>
      </w:tr>
      <w:tr>
        <w:trPr>
          <w:trHeight w:val="223"/>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10,756,316</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12,467,044</w:t>
            </w: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(1,531,678)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(1,291,999)</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50,190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16,041</w:t>
            </w: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1,847,065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(186,353)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(119,575)</w:t>
            </w:r>
          </w:p>
        </w:tc>
      </w:tr>
      <w:tr>
        <w:trPr>
          <w:trHeight w:val="223"/>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(1,395,533)</w:t>
            </w:r>
          </w:p>
        </w:tc>
      </w:tr>
      <w:tr>
        <w:trPr>
          <w:trHeight w:val="229"/>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r>
      <w:tr>
        <w:trPr>
          <w:trHeight w:val="223"/>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(1,402,433)</w:t>
            </w:r>
          </w:p>
        </w:tc>
      </w:tr>
      <w:tr>
        <w:trPr>
          <w:trHeight w:val="229"/>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Net (income) loss at subsidiary attributable to noncontrolling interests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19,898</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r>
      <w:tr>
        <w:trPr>
          <w:trHeight w:val="248"/>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common shareholders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192,184</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attributable to common shareholders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 basic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14,359,322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14,691,623</w:t>
            </w: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 diluted</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14,587,843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14,691,623</w:t>
            </w:r>
          </w:p>
        </w:tc>
      </w:tr>
    </w:tbl>
    <w:p>
      <w:pPr>
        <w:sectPr>
          <w:pgSz w:w="11900" w:h="16838" w:orient="portrait"/>
          <w:cols w:equalWidth="0" w:num="1">
            <w:col w:w="9020"/>
          </w:cols>
          <w:pgMar w:left="1440" w:top="891" w:right="14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172,286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(1,402,433)</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Adjustments to reconcile net income (loss) to net cash provided by (used in) operating activities: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1,255,675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1,653,746</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159,901</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Decrease (increase) in non-cash contingent consideration</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370,464</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Decrease (increase) in cash surrender value of life insurance policies over premiums paid</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222,209</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Gain on receivable of FDA fees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(1,847,065)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interest expense</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(7,758,089)</w:t>
            </w:r>
          </w:p>
        </w:tc>
      </w:tr>
      <w:tr>
        <w:trPr>
          <w:trHeight w:val="230"/>
        </w:trPr>
        <w:tc>
          <w:tcPr>
            <w:tcW w:w="740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(323,557)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2,271,484</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239,862</w:t>
            </w: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(1,105,263)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4,461,389</w:t>
            </w:r>
          </w:p>
        </w:tc>
      </w:tr>
      <w:tr>
        <w:trPr>
          <w:trHeight w:val="230"/>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(371,214)</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(1,418,209)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(150,498)</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(107,260)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(26,986)</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4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(14,912)</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(13,541,898)</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(8,127,714)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(501,505)</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(580,130)</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(1,779,142)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3,918,365</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(3,371,804)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(9,774,031)</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16,386,166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17,266,785</w:t>
            </w:r>
          </w:p>
        </w:tc>
      </w:tr>
      <w:tr>
        <w:trPr>
          <w:trHeight w:val="20"/>
        </w:trPr>
        <w:tc>
          <w:tcPr>
            <w:tcW w:w="7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891" w:right="379" w:bottom="1440" w:gutter="0" w:footer="0" w:header="0"/>
        </w:sectPr>
      </w:pPr>
    </w:p>
    <w:bookmarkStart w:id="13" w:name="page14"/>
    <w:bookmarkEnd w:id="13"/>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5"/>
              </w:rPr>
              <w:t>Three months ended March 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88"/>
              </w:rPr>
              <w:t>Earnings per share</w:t>
            </w:r>
          </w:p>
        </w:tc>
        <w:tc>
          <w:tcPr>
            <w:tcW w:w="120" w:type="dxa"/>
            <w:vAlign w:val="bottom"/>
          </w:tcPr>
          <w:p>
            <w:pPr>
              <w:spacing w:after="0"/>
              <w:rPr>
                <w:sz w:val="16"/>
                <w:szCs w:val="16"/>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4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36"/>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center"/>
              <w:ind w:right="210"/>
              <w:spacing w:after="0"/>
              <w:rPr>
                <w:sz w:val="20"/>
                <w:szCs w:val="20"/>
                <w:color w:val="auto"/>
              </w:rPr>
            </w:pPr>
            <w:r>
              <w:rPr>
                <w:rFonts w:ascii="Arial" w:cs="Arial" w:eastAsia="Arial" w:hAnsi="Arial"/>
                <w:sz w:val="18"/>
                <w:szCs w:val="18"/>
                <w:color w:val="auto"/>
                <w:w w:val="90"/>
              </w:rPr>
              <w:t>impact</w:t>
            </w:r>
          </w:p>
        </w:tc>
        <w:tc>
          <w:tcPr>
            <w:tcW w:w="0" w:type="dxa"/>
            <w:vAlign w:val="bottom"/>
          </w:tcPr>
          <w:p>
            <w:pPr>
              <w:spacing w:after="0"/>
              <w:rPr>
                <w:sz w:val="1"/>
                <w:szCs w:val="1"/>
                <w:color w:val="auto"/>
              </w:rPr>
            </w:pPr>
          </w:p>
        </w:tc>
      </w:tr>
      <w:tr>
        <w:trPr>
          <w:trHeight w:val="94"/>
        </w:trPr>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88"/>
        </w:trPr>
        <w:tc>
          <w:tcPr>
            <w:tcW w:w="5300" w:type="dxa"/>
            <w:vAlign w:val="bottom"/>
          </w:tcPr>
          <w:p>
            <w:pPr>
              <w:ind w:left="20"/>
              <w:spacing w:after="0" w:line="189" w:lineRule="exact"/>
              <w:rPr>
                <w:sz w:val="20"/>
                <w:szCs w:val="20"/>
                <w:color w:val="auto"/>
              </w:rPr>
            </w:pPr>
            <w:r>
              <w:rPr>
                <w:rFonts w:ascii="Arial" w:cs="Arial" w:eastAsia="Arial" w:hAnsi="Arial"/>
                <w:sz w:val="18"/>
                <w:szCs w:val="18"/>
                <w:color w:val="auto"/>
              </w:rPr>
              <w:t>Less: Net (income) loss at subsidiary attributable to noncontrolling</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Adjustments to net income (loss)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1,255,675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1,653,746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61"/>
        </w:trPr>
        <w:tc>
          <w:tcPr>
            <w:tcW w:w="5300" w:type="dxa"/>
            <w:vAlign w:val="bottom"/>
          </w:tcPr>
          <w:p>
            <w:pPr>
              <w:ind w:left="20"/>
              <w:spacing w:after="0" w:line="161" w:lineRule="exact"/>
              <w:rPr>
                <w:sz w:val="20"/>
                <w:szCs w:val="20"/>
                <w:color w:val="auto"/>
              </w:rPr>
            </w:pPr>
            <w:r>
              <w:rPr>
                <w:rFonts w:ascii="Arial" w:cs="Arial" w:eastAsia="Arial" w:hAnsi="Arial"/>
                <w:sz w:val="18"/>
                <w:szCs w:val="18"/>
                <w:b w:val="1"/>
                <w:bCs w:val="1"/>
                <w:color w:val="auto"/>
                <w:w w:val="92"/>
              </w:rPr>
              <w:t>Adjusted Earnings (loss) and Adjusted Diluted Earnings (loss) Per</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1,661,218</w:t>
            </w:r>
          </w:p>
        </w:tc>
        <w:tc>
          <w:tcPr>
            <w:tcW w:w="12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521,648</w:t>
            </w:r>
          </w:p>
        </w:tc>
        <w:tc>
          <w:tcPr>
            <w:tcW w:w="12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1"/>
        </w:trPr>
        <w:tc>
          <w:tcPr>
            <w:tcW w:w="5300" w:type="dxa"/>
            <w:vAlign w:val="bottom"/>
          </w:tcPr>
          <w:p>
            <w:pPr>
              <w:ind w:left="20"/>
              <w:spacing w:after="0" w:line="211"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3"/>
                <w:szCs w:val="23"/>
                <w:b w:val="1"/>
                <w:bCs w:val="1"/>
                <w:color w:val="auto"/>
                <w:vertAlign w:val="superscript"/>
              </w:rPr>
              <w:t>(b)</w:t>
            </w: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14,587,843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15,038,148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ectPr>
          <w:pgSz w:w="11900" w:h="16838" w:orient="portrait"/>
          <w:cols w:equalWidth="0" w:num="1">
            <w:col w:w="11240"/>
          </w:cols>
          <w:pgMar w:left="320" w:top="963" w:right="339" w:bottom="1440" w:gutter="0" w:footer="0" w:header="0"/>
        </w:sectPr>
      </w:pPr>
    </w:p>
    <w:bookmarkStart w:id="14" w:name="page15"/>
    <w:bookmarkEnd w:id="14"/>
    <w:p>
      <w:pPr>
        <w:jc w:val="both"/>
        <w:spacing w:after="0" w:line="290"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92" w:lineRule="exact"/>
        <w:rPr>
          <w:sz w:val="20"/>
          <w:szCs w:val="20"/>
          <w:color w:val="auto"/>
        </w:rPr>
      </w:pPr>
    </w:p>
    <w:p>
      <w:pPr>
        <w:ind w:left="660" w:hanging="328"/>
        <w:spacing w:after="0" w:line="293"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 xml:space="preserve">Adjusted Earnings (loss): </w:t>
      </w:r>
      <w:r>
        <w:rPr>
          <w:rFonts w:ascii="Arial" w:cs="Arial" w:eastAsia="Arial" w:hAnsi="Arial"/>
          <w:sz w:val="21"/>
          <w:szCs w:val="21"/>
          <w:color w:val="auto"/>
        </w:rPr>
        <w:t>net income (loss) adjusted for the impact of income taxes, depreciation and amortization</w:t>
      </w:r>
      <w:r>
        <w:rPr>
          <w:rFonts w:ascii="Arial" w:cs="Arial" w:eastAsia="Arial" w:hAnsi="Arial"/>
          <w:sz w:val="21"/>
          <w:szCs w:val="21"/>
          <w:b w:val="1"/>
          <w:bCs w:val="1"/>
          <w:color w:val="auto"/>
        </w:rPr>
        <w:t xml:space="preserve"> </w:t>
      </w:r>
      <w:r>
        <w:rPr>
          <w:rFonts w:ascii="Arial" w:cs="Arial" w:eastAsia="Arial" w:hAnsi="Arial"/>
          <w:sz w:val="21"/>
          <w:szCs w:val="21"/>
          <w:color w:val="auto"/>
        </w:rPr>
        <w:t>expense, share-based compensation, nonrecurring gains and interest income and interest expense.</w:t>
      </w:r>
    </w:p>
    <w:p>
      <w:pPr>
        <w:spacing w:after="0" w:line="320" w:lineRule="exact"/>
        <w:rPr>
          <w:rFonts w:ascii="Arial" w:cs="Arial" w:eastAsia="Arial" w:hAnsi="Arial"/>
          <w:sz w:val="21"/>
          <w:szCs w:val="21"/>
          <w:color w:val="auto"/>
        </w:rPr>
      </w:pPr>
    </w:p>
    <w:p>
      <w:pPr>
        <w:ind w:left="1160" w:hanging="288"/>
        <w:spacing w:after="0"/>
        <w:tabs>
          <w:tab w:leader="none" w:pos="116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152" w:lineRule="exact"/>
        <w:rPr>
          <w:rFonts w:ascii="Arial" w:cs="Arial" w:eastAsia="Arial" w:hAnsi="Arial"/>
          <w:sz w:val="22"/>
          <w:szCs w:val="22"/>
          <w:color w:val="auto"/>
        </w:rPr>
      </w:pPr>
    </w:p>
    <w:p>
      <w:pPr>
        <w:jc w:val="both"/>
        <w:ind w:left="1300" w:right="180" w:firstLine="4"/>
        <w:spacing w:after="0" w:line="253" w:lineRule="auto"/>
        <w:tabs>
          <w:tab w:leader="none" w:pos="1606" w:val="left"/>
        </w:tabs>
        <w:numPr>
          <w:ilvl w:val="2"/>
          <w:numId w:val="5"/>
        </w:numPr>
        <w:rPr>
          <w:rFonts w:ascii="Arial" w:cs="Arial" w:eastAsia="Arial" w:hAnsi="Arial"/>
          <w:sz w:val="22"/>
          <w:szCs w:val="22"/>
          <w:color w:val="auto"/>
        </w:rPr>
      </w:pPr>
      <w:r>
        <w:rPr>
          <w:rFonts w:ascii="Arial" w:cs="Arial" w:eastAsia="Arial" w:hAnsi="Arial"/>
          <w:sz w:val="22"/>
          <w:szCs w:val="22"/>
          <w:color w:val="auto"/>
        </w:rPr>
        <w:t>Adjusted Earnings includes a gain on the refund of 2022 FDA fees in the amount of $1,847,065. Cumberland has applied to the FDA for a similar refund of 2023 FDA fees which is expected to be approved within twelve to twenty-four months.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hanging="328"/>
        <w:spacing w:after="0" w:line="282" w:lineRule="auto"/>
        <w:tabs>
          <w:tab w:leader="none" w:pos="655"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9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2023-05-09T16:37:59Z</dcterms:created>
  <dcterms:modified xsi:type="dcterms:W3CDTF">2023-05-09T16:37:59Z</dcterms:modified>
</cp:coreProperties>
</file>