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March 18, 2020 (March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2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001-33637</w:t>
            </w: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62-1765329</w:t>
            </w:r>
          </w:p>
        </w:tc>
        <w:tc>
          <w:tcPr>
            <w:tcW w:w="600" w:type="dxa"/>
            <w:vAlign w:val="bottom"/>
          </w:tcPr>
          <w:p>
            <w:pPr>
              <w:spacing w:after="0"/>
              <w:rPr>
                <w:sz w:val="17"/>
                <w:szCs w:val="17"/>
                <w:color w:val="auto"/>
              </w:rPr>
            </w:pPr>
          </w:p>
        </w:tc>
      </w:tr>
      <w:tr>
        <w:trPr>
          <w:trHeight w:val="467"/>
        </w:trPr>
        <w:tc>
          <w:tcPr>
            <w:tcW w:w="3340" w:type="dxa"/>
            <w:vAlign w:val="bottom"/>
            <w:gridSpan w:val="3"/>
          </w:tcPr>
          <w:p>
            <w:pPr>
              <w:jc w:val="center"/>
              <w:ind w:right="820"/>
              <w:spacing w:after="0"/>
              <w:rPr>
                <w:sz w:val="20"/>
                <w:szCs w:val="20"/>
                <w:color w:val="auto"/>
              </w:rPr>
            </w:pPr>
            <w:r>
              <w:rPr>
                <w:rFonts w:ascii="Arial" w:cs="Arial" w:eastAsia="Arial" w:hAnsi="Arial"/>
                <w:sz w:val="14"/>
                <w:szCs w:val="14"/>
                <w:color w:val="auto"/>
                <w:w w:val="95"/>
              </w:rPr>
              <w:t>(State or other jurisdiction of incorporation)</w:t>
            </w:r>
          </w:p>
        </w:tc>
        <w:tc>
          <w:tcPr>
            <w:tcW w:w="3180" w:type="dxa"/>
            <w:vAlign w:val="bottom"/>
            <w:gridSpan w:val="3"/>
          </w:tcPr>
          <w:p>
            <w:pPr>
              <w:jc w:val="center"/>
              <w:spacing w:after="0"/>
              <w:rPr>
                <w:sz w:val="20"/>
                <w:szCs w:val="20"/>
                <w:color w:val="auto"/>
              </w:rPr>
            </w:pPr>
            <w:r>
              <w:rPr>
                <w:rFonts w:ascii="Arial" w:cs="Arial" w:eastAsia="Arial" w:hAnsi="Arial"/>
                <w:sz w:val="14"/>
                <w:szCs w:val="14"/>
                <w:color w:val="auto"/>
                <w:w w:val="96"/>
              </w:rPr>
              <w:t>(Commission File Number)</w:t>
            </w:r>
          </w:p>
        </w:tc>
        <w:tc>
          <w:tcPr>
            <w:tcW w:w="2840" w:type="dxa"/>
            <w:vAlign w:val="bottom"/>
            <w:gridSpan w:val="3"/>
          </w:tcPr>
          <w:p>
            <w:pPr>
              <w:jc w:val="center"/>
              <w:ind w:left="688"/>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63"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(Address of principal executive offices) (Zip Code)</w:t>
      </w:r>
    </w:p>
    <w:p>
      <w:pPr>
        <w:spacing w:after="0" w:line="3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(615) 255-0068</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(Registrant’s telephone number, including area code)</w:t>
      </w:r>
    </w:p>
    <w:p>
      <w:pPr>
        <w:spacing w:after="0" w:line="2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1"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980" w:hanging="44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Arial" w:cs="Arial" w:eastAsia="Arial" w:hAnsi="Arial"/>
          <w:sz w:val="18"/>
          <w:szCs w:val="18"/>
          <w:color w:val="auto"/>
        </w:rPr>
      </w:pPr>
    </w:p>
    <w:p>
      <w:pPr>
        <w:ind w:left="980" w:hanging="44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Arial" w:cs="Arial" w:eastAsia="Arial" w:hAnsi="Arial"/>
          <w:sz w:val="18"/>
          <w:szCs w:val="18"/>
          <w:color w:val="auto"/>
        </w:rPr>
      </w:pPr>
    </w:p>
    <w:p>
      <w:pPr>
        <w:ind w:left="980" w:hanging="44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Arial" w:cs="Arial" w:eastAsia="Arial" w:hAnsi="Arial"/>
          <w:sz w:val="18"/>
          <w:szCs w:val="18"/>
          <w:color w:val="auto"/>
        </w:rPr>
      </w:pPr>
    </w:p>
    <w:p>
      <w:pPr>
        <w:ind w:right="2060" w:firstLine="534"/>
        <w:spacing w:after="0" w:line="434" w:lineRule="auto"/>
        <w:tabs>
          <w:tab w:leader="none" w:pos="97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ind w:left="1620"/>
              <w:spacing w:after="0"/>
              <w:rPr>
                <w:sz w:val="20"/>
                <w:szCs w:val="20"/>
                <w:color w:val="auto"/>
              </w:rPr>
            </w:pPr>
            <w:r>
              <w:rPr>
                <w:rFonts w:ascii="Arial" w:cs="Arial" w:eastAsia="Arial" w:hAnsi="Arial"/>
                <w:sz w:val="18"/>
                <w:szCs w:val="18"/>
                <w:color w:val="auto"/>
              </w:rPr>
              <w:t>Class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7"/>
        </w:trPr>
        <w:tc>
          <w:tcPr>
            <w:tcW w:w="3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Common stock, no par value</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CPIX</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231"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16" w:lineRule="exact"/>
        <w:rPr>
          <w:sz w:val="20"/>
          <w:szCs w:val="20"/>
          <w:color w:val="auto"/>
        </w:rPr>
      </w:pPr>
    </w:p>
    <w:p>
      <w:pPr>
        <w:ind w:right="120"/>
        <w:spacing w:after="0" w:line="232" w:lineRule="auto"/>
        <w:rPr>
          <w:rFonts w:ascii="Arial" w:cs="Arial" w:eastAsia="Arial" w:hAnsi="Arial"/>
          <w:sz w:val="18"/>
          <w:szCs w:val="18"/>
          <w:color w:val="auto"/>
        </w:rPr>
      </w:pPr>
      <w:r>
        <w:rPr>
          <w:rFonts w:ascii="Arial" w:cs="Arial" w:eastAsia="Arial" w:hAnsi="Arial"/>
          <w:sz w:val="18"/>
          <w:szCs w:val="18"/>
          <w:color w:val="auto"/>
        </w:rPr>
        <w:t>On March 18, 2020, Cumberland Pharmaceuticals Inc. (the "Company") issued a press release announcing 17% revenue growth for the full year 2019 and the operating results for the three months and year ended December 31, 2019. The Company also released information relating to the FDA approval of RediTrex™, the completed Caldolor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pediatric study in newborns and the newly initiated ifetroban clinical program. A copy of the press release is furnished as </w:t>
      </w:r>
      <w:hyperlink w:anchor="page4">
        <w:r>
          <w:rPr>
            <w:rFonts w:ascii="Arial" w:cs="Arial" w:eastAsia="Arial" w:hAnsi="Arial"/>
            <w:sz w:val="18"/>
            <w:szCs w:val="18"/>
            <w:u w:val="single" w:color="auto"/>
            <w:color w:val="0000FF"/>
          </w:rPr>
          <w:t>Exhibit 99.1</w:t>
        </w:r>
      </w:hyperlink>
      <w:r>
        <w:rPr>
          <w:rFonts w:ascii="Arial" w:cs="Arial" w:eastAsia="Arial" w:hAnsi="Arial"/>
          <w:sz w:val="18"/>
          <w:szCs w:val="18"/>
          <w:color w:val="auto"/>
        </w:rPr>
        <w:t>.</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ectPr>
          <w:pgSz w:w="11900" w:h="16838" w:orient="portrait"/>
          <w:cols w:equalWidth="0" w:num="1">
            <w:col w:w="11220"/>
          </w:cols>
          <w:pgMar w:left="320" w:top="540"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Cumberland Pharmaceuticals Inc.</w:t>
      </w:r>
    </w:p>
    <w:p>
      <w:pPr>
        <w:spacing w:after="0" w:line="200" w:lineRule="exact"/>
        <w:rPr>
          <w:sz w:val="20"/>
          <w:szCs w:val="20"/>
          <w:color w:val="auto"/>
        </w:rPr>
      </w:pPr>
    </w:p>
    <w:p>
      <w:pPr>
        <w:spacing w:after="0" w:line="390" w:lineRule="exact"/>
        <w:rPr>
          <w:sz w:val="20"/>
          <w:szCs w:val="20"/>
          <w:color w:val="auto"/>
        </w:rPr>
      </w:pPr>
    </w:p>
    <w:p>
      <w:pPr>
        <w:ind w:left="480"/>
        <w:spacing w:after="0"/>
        <w:tabs>
          <w:tab w:leader="none" w:pos="7500" w:val="left"/>
        </w:tabs>
        <w:rPr>
          <w:sz w:val="20"/>
          <w:szCs w:val="20"/>
          <w:color w:val="auto"/>
        </w:rPr>
      </w:pPr>
      <w:r>
        <w:rPr>
          <w:rFonts w:ascii="Arial" w:cs="Arial" w:eastAsia="Arial" w:hAnsi="Arial"/>
          <w:sz w:val="18"/>
          <w:szCs w:val="18"/>
          <w:i w:val="1"/>
          <w:iCs w:val="1"/>
          <w:color w:val="auto"/>
        </w:rPr>
        <w:t>March 18, 2020</w:t>
      </w:r>
      <w:r>
        <w:rPr>
          <w:sz w:val="20"/>
          <w:szCs w:val="20"/>
          <w:color w:val="auto"/>
        </w:rPr>
        <w:tab/>
      </w:r>
      <w:r>
        <w:rPr>
          <w:rFonts w:ascii="Arial" w:cs="Arial" w:eastAsia="Arial" w:hAnsi="Arial"/>
          <w:sz w:val="16"/>
          <w:szCs w:val="16"/>
          <w:i w:val="1"/>
          <w:iCs w:val="1"/>
          <w:color w:val="auto"/>
        </w:rPr>
        <w:t>By: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31750</wp:posOffset>
            </wp:positionV>
            <wp:extent cx="2091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78" w:lineRule="exact"/>
        <w:rPr>
          <w:sz w:val="20"/>
          <w:szCs w:val="20"/>
          <w:color w:val="auto"/>
        </w:rPr>
      </w:pPr>
    </w:p>
    <w:p>
      <w:pPr>
        <w:ind w:left="7520"/>
        <w:spacing w:after="0"/>
        <w:rPr>
          <w:sz w:val="20"/>
          <w:szCs w:val="20"/>
          <w:color w:val="auto"/>
        </w:rPr>
      </w:pPr>
      <w:r>
        <w:rPr>
          <w:rFonts w:ascii="Arial" w:cs="Arial" w:eastAsia="Arial" w:hAnsi="Arial"/>
          <w:sz w:val="18"/>
          <w:szCs w:val="18"/>
          <w:i w:val="1"/>
          <w:iCs w:val="1"/>
          <w:color w:val="auto"/>
        </w:rPr>
        <w:t>Name: Michael Bonner</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i w:val="1"/>
          <w:iCs w:val="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300" w:type="dxa"/>
        <w:tblCellMar>
          <w:top w:w="0" w:type="dxa"/>
          <w:left w:w="0" w:type="dxa"/>
          <w:bottom w:w="0" w:type="dxa"/>
          <w:right w:w="0" w:type="dxa"/>
        </w:tblCellMar>
      </w:tblPr>
      <w:tr>
        <w:trPr>
          <w:trHeight w:val="174"/>
        </w:trPr>
        <w:tc>
          <w:tcPr>
            <w:tcW w:w="286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5"/>
                <w:szCs w:val="15"/>
                <w:color w:val="auto"/>
              </w:rPr>
            </w:pPr>
          </w:p>
        </w:tc>
        <w:tc>
          <w:tcPr>
            <w:tcW w:w="578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473"/>
        </w:trPr>
        <w:tc>
          <w:tcPr>
            <w:tcW w:w="1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1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560" w:type="dxa"/>
            <w:vAlign w:val="bottom"/>
            <w:tcBorders>
              <w:top w:val="single" w:sz="8" w:color="auto"/>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March 18, 2020</w:t>
              </w:r>
            </w:hyperlink>
          </w:p>
        </w:tc>
        <w:tc>
          <w:tcPr>
            <w:tcW w:w="3220" w:type="dxa"/>
            <w:vAlign w:val="bottom"/>
            <w:tcBorders>
              <w:top w:val="single" w:sz="8" w:color="auto"/>
            </w:tcBorders>
          </w:tcPr>
          <w:p>
            <w:pPr>
              <w:spacing w:after="0"/>
              <w:rPr>
                <w:sz w:val="24"/>
                <w:szCs w:val="24"/>
                <w:color w:val="auto"/>
              </w:rPr>
            </w:pPr>
          </w:p>
        </w:tc>
      </w:tr>
    </w:tbl>
    <w:p>
      <w:pPr>
        <w:sectPr>
          <w:pgSz w:w="11900" w:h="16838" w:orient="portrait"/>
          <w:cols w:equalWidth="0" w:num="1">
            <w:col w:w="11200"/>
          </w:cols>
          <w:pgMar w:left="320" w:top="958"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2188210</wp:posOffset>
            </wp:positionH>
            <wp:positionV relativeFrom="page">
              <wp:posOffset>363220</wp:posOffset>
            </wp:positionV>
            <wp:extent cx="3171825"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171825" cy="720090"/>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CUMBERLAND PHARMACEUTICALS REPORTS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17% REVENUE GROWTH FOR THE FULL YEAR 2019</w:t>
      </w:r>
    </w:p>
    <w:p>
      <w:pPr>
        <w:spacing w:after="0" w:line="200" w:lineRule="exact"/>
        <w:rPr>
          <w:sz w:val="20"/>
          <w:szCs w:val="20"/>
          <w:color w:val="auto"/>
        </w:rPr>
      </w:pPr>
    </w:p>
    <w:p>
      <w:pPr>
        <w:spacing w:after="0" w:line="235" w:lineRule="exact"/>
        <w:rPr>
          <w:sz w:val="20"/>
          <w:szCs w:val="20"/>
          <w:color w:val="auto"/>
        </w:rPr>
      </w:pPr>
    </w:p>
    <w:p>
      <w:pPr>
        <w:ind w:left="3980" w:hanging="134"/>
        <w:spacing w:after="0"/>
        <w:tabs>
          <w:tab w:leader="none" w:pos="3980" w:val="left"/>
        </w:tabs>
        <w:numPr>
          <w:ilvl w:val="2"/>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Received FDA approval for RediTrex</w:t>
      </w:r>
      <w:r>
        <w:rPr>
          <w:rFonts w:ascii="Arial" w:cs="Arial" w:eastAsia="Arial" w:hAnsi="Arial"/>
          <w:sz w:val="25"/>
          <w:szCs w:val="25"/>
          <w:i w:val="1"/>
          <w:iCs w:val="1"/>
          <w:color w:val="auto"/>
          <w:vertAlign w:val="superscript"/>
        </w:rPr>
        <w:t>TM</w:t>
      </w:r>
    </w:p>
    <w:p>
      <w:pPr>
        <w:spacing w:after="0" w:line="261" w:lineRule="exact"/>
        <w:rPr>
          <w:rFonts w:ascii="Arial" w:cs="Arial" w:eastAsia="Arial" w:hAnsi="Arial"/>
          <w:sz w:val="22"/>
          <w:szCs w:val="22"/>
          <w:i w:val="1"/>
          <w:iCs w:val="1"/>
          <w:color w:val="auto"/>
        </w:rPr>
      </w:pPr>
    </w:p>
    <w:p>
      <w:pPr>
        <w:ind w:left="3520" w:hanging="129"/>
        <w:spacing w:after="0"/>
        <w:tabs>
          <w:tab w:leader="none" w:pos="35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Completed Caldolor</w:t>
      </w:r>
      <w:r>
        <w:rPr>
          <w:rFonts w:ascii="Arial" w:cs="Arial" w:eastAsia="Arial" w:hAnsi="Arial"/>
          <w:sz w:val="28"/>
          <w:szCs w:val="28"/>
          <w:color w:val="auto"/>
          <w:vertAlign w:val="superscript"/>
        </w:rPr>
        <w:t>®</w:t>
      </w:r>
      <w:r>
        <w:rPr>
          <w:rFonts w:ascii="Arial" w:cs="Arial" w:eastAsia="Arial" w:hAnsi="Arial"/>
          <w:sz w:val="22"/>
          <w:szCs w:val="22"/>
          <w:i w:val="1"/>
          <w:iCs w:val="1"/>
          <w:color w:val="auto"/>
        </w:rPr>
        <w:t xml:space="preserve"> pediatric study in newborns</w:t>
      </w:r>
    </w:p>
    <w:p>
      <w:pPr>
        <w:spacing w:after="0" w:line="390" w:lineRule="exact"/>
        <w:rPr>
          <w:rFonts w:ascii="Arial" w:cs="Arial" w:eastAsia="Arial" w:hAnsi="Arial"/>
          <w:sz w:val="22"/>
          <w:szCs w:val="22"/>
          <w:i w:val="1"/>
          <w:iCs w:val="1"/>
          <w:color w:val="auto"/>
        </w:rPr>
      </w:pPr>
    </w:p>
    <w:p>
      <w:pPr>
        <w:ind w:left="3940" w:hanging="117"/>
        <w:spacing w:after="0"/>
        <w:tabs>
          <w:tab w:leader="none" w:pos="3940" w:val="left"/>
        </w:tabs>
        <w:numPr>
          <w:ilvl w:val="1"/>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Initiated new ifetroban clinical program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NASHVILLE, TENNESSEE (Wednesday, March 18, 2020) - Cumberland Pharmaceuticals Inc. (NASDAQ: CPIX)</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color w:val="auto"/>
        </w:rPr>
        <w:t>specialty pharmaceutical company focused on hospital acute care and gastroenterology, today announced fourth quarter and full year 2019 financial results. Net Revenues for the fourth quarter were $13.7 million, and for the full year 2019, Net Revenues totaled $47.5 million, a 17% increase over the prior year.</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As of December 31, 2019, the total assets of the Company grew to $104.5 million, including $28.2 million in cash and investments. Total Liabilities were $53.5 million, and Total Shareholder’s Equity was $51.1 million. Cumberland also has available $44.1 million in tax net operating loss carryforwards, resulting from the prior exercise of 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and Annual Highlights</w:t>
      </w:r>
      <w:r>
        <w:rPr>
          <w:rFonts w:ascii="Arial" w:cs="Arial" w:eastAsia="Arial" w:hAnsi="Arial"/>
          <w:sz w:val="22"/>
          <w:szCs w:val="22"/>
          <w:b w:val="1"/>
          <w:bCs w:val="1"/>
          <w:color w:val="auto"/>
        </w:rPr>
        <w:t>:</w:t>
      </w:r>
    </w:p>
    <w:p>
      <w:pPr>
        <w:spacing w:after="0" w:line="30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Received FDA approval for RediTrex line of injectable methotrexate products</w:t>
      </w:r>
    </w:p>
    <w:p>
      <w:pPr>
        <w:spacing w:after="0" w:line="24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Completed initial launch of Caldolor Next Generation product</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Completed strategic review of brands, capabilities, and international partners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Initiated clinical program to study ifetroban in patients with Duchenne Muscular Dystrophy</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Completed clinical study of Caldolor in children from birth to six months of age</w:t>
      </w:r>
    </w:p>
    <w:p>
      <w:pPr>
        <w:spacing w:after="0" w:line="200" w:lineRule="exact"/>
        <w:rPr>
          <w:sz w:val="20"/>
          <w:szCs w:val="20"/>
          <w:color w:val="auto"/>
        </w:rPr>
      </w:pPr>
    </w:p>
    <w:p>
      <w:pPr>
        <w:spacing w:after="0" w:line="34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"During 2019, we made significant progress in advancing our major initiatives and accomplishing many key objectives," said A.J. Kazimi, Chief Executive Officer of Cumberland Pharmaceuticals. "We are working hard to build a specialty pharma business that delivers sustained growth and profitable operations." He continued, "And I'd like to thank our team for all their fine efforts and valuable contributions."</w:t>
      </w:r>
    </w:p>
    <w:p>
      <w:pPr>
        <w:sectPr>
          <w:pgSz w:w="11900" w:h="16838" w:orient="portrait"/>
          <w:cols w:equalWidth="0" w:num="1">
            <w:col w:w="11240"/>
          </w:cols>
          <w:pgMar w:left="320" w:top="1440" w:right="339" w:bottom="1440" w:gutter="0" w:footer="0" w:header="0"/>
        </w:sectPr>
      </w:pPr>
    </w:p>
    <w:bookmarkStart w:id="4" w:name="page5"/>
    <w:bookmarkEnd w:id="4"/>
    <w:p>
      <w:pPr>
        <w:ind w:right="180"/>
        <w:spacing w:after="0" w:line="250" w:lineRule="auto"/>
        <w:rPr>
          <w:sz w:val="20"/>
          <w:szCs w:val="20"/>
          <w:color w:val="auto"/>
        </w:rPr>
      </w:pPr>
      <w:r>
        <w:rPr>
          <w:rFonts w:ascii="Arial" w:cs="Arial" w:eastAsia="Arial" w:hAnsi="Arial"/>
          <w:sz w:val="22"/>
          <w:szCs w:val="22"/>
          <w:color w:val="auto"/>
        </w:rPr>
        <w:t>At the beginning of 2019, Cumberland commenced a strategic review of its brands, capabilities, and international partners. This review followed an accelerated business development initiative, which resulted in a series of transactions. Because of that progress, the Company felt that it was prudent to take a fresh look at its product portfolio, partners, and organization to ensure proper focus and capabilities.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As a result of the strategic review:</w:t>
      </w:r>
    </w:p>
    <w:p>
      <w:pPr>
        <w:spacing w:after="0" w:line="179" w:lineRule="exact"/>
        <w:rPr>
          <w:sz w:val="20"/>
          <w:szCs w:val="20"/>
          <w:color w:val="auto"/>
        </w:rPr>
      </w:pPr>
    </w:p>
    <w:p>
      <w:pPr>
        <w:ind w:left="660" w:right="260"/>
        <w:spacing w:after="0" w:line="250" w:lineRule="auto"/>
        <w:rPr>
          <w:sz w:val="20"/>
          <w:szCs w:val="20"/>
          <w:color w:val="auto"/>
        </w:rPr>
      </w:pPr>
      <w:r>
        <w:rPr>
          <w:rFonts w:ascii="Arial" w:cs="Arial" w:eastAsia="Arial" w:hAnsi="Arial"/>
          <w:sz w:val="22"/>
          <w:szCs w:val="22"/>
          <w:color w:val="auto"/>
        </w:rPr>
        <w:t>Cumberland executed a License and Distribution agreement with HongKong WinHealth Pharma Group Co. Limited (“WinHealth”) for Caldolor and Acetadote in China and Hong Kong. Cumberland also entered into a Strategic Alliance agreement with WinHealth to explore future business opportunities that will further the mission and goals of each organization.</w:t>
      </w:r>
    </w:p>
    <w:p>
      <w:pPr>
        <w:spacing w:after="0" w:line="137" w:lineRule="exact"/>
        <w:rPr>
          <w:sz w:val="20"/>
          <w:szCs w:val="20"/>
          <w:color w:val="auto"/>
        </w:rPr>
      </w:pPr>
    </w:p>
    <w:p>
      <w:pPr>
        <w:ind w:left="660" w:right="280"/>
        <w:spacing w:after="0" w:line="234" w:lineRule="auto"/>
        <w:rPr>
          <w:sz w:val="20"/>
          <w:szCs w:val="20"/>
          <w:color w:val="auto"/>
        </w:rPr>
      </w:pPr>
      <w:r>
        <w:rPr>
          <w:rFonts w:ascii="Arial" w:cs="Arial" w:eastAsia="Arial" w:hAnsi="Arial"/>
          <w:sz w:val="22"/>
          <w:szCs w:val="22"/>
          <w:color w:val="auto"/>
        </w:rPr>
        <w:t>The Company also completed an agreement with Hikma Pharmaceuticals LLC to register and distribute Vibativ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in the Middle East, finalized arrangements with R-Pharma JSC for ongoing distribution of Vibativ in Russia and Eastern Europe, and completed an agreement with Dr. Reddy’s Laboratories Limited for the registration and distribution of Vibativ in India.</w:t>
      </w:r>
    </w:p>
    <w:p>
      <w:pPr>
        <w:spacing w:after="0" w:line="148" w:lineRule="exact"/>
        <w:rPr>
          <w:sz w:val="20"/>
          <w:szCs w:val="20"/>
          <w:color w:val="auto"/>
        </w:rPr>
      </w:pPr>
    </w:p>
    <w:p>
      <w:pPr>
        <w:ind w:left="660"/>
        <w:spacing w:after="0" w:line="235" w:lineRule="auto"/>
        <w:rPr>
          <w:sz w:val="20"/>
          <w:szCs w:val="20"/>
          <w:color w:val="auto"/>
        </w:rPr>
      </w:pPr>
      <w:r>
        <w:rPr>
          <w:rFonts w:ascii="Arial" w:cs="Arial" w:eastAsia="Arial" w:hAnsi="Arial"/>
          <w:sz w:val="22"/>
          <w:szCs w:val="22"/>
          <w:color w:val="auto"/>
        </w:rPr>
        <w:t>Cumberland concluded its agreement with Clinigen Group plc ("Clinigen") for the distribution and support for Ethyol</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and Totect</w:t>
      </w:r>
      <w:r>
        <w:rPr>
          <w:rFonts w:ascii="Arial" w:cs="Arial" w:eastAsia="Arial" w:hAnsi="Arial"/>
          <w:sz w:val="28"/>
          <w:szCs w:val="28"/>
          <w:color w:val="auto"/>
          <w:vertAlign w:val="superscript"/>
        </w:rPr>
        <w:t>®</w:t>
      </w:r>
      <w:r>
        <w:rPr>
          <w:rFonts w:ascii="Arial" w:cs="Arial" w:eastAsia="Arial" w:hAnsi="Arial"/>
          <w:sz w:val="22"/>
          <w:szCs w:val="22"/>
          <w:color w:val="auto"/>
        </w:rPr>
        <w:t>. As a result, Cumberland will no longer be involved with the distribution, marketing, and promotion of Ethyol and Totect in the United Stated. At the end of 2019, the Company transitioned the responsibilities of both products back to Clinigen. Cumberland will receive $5 million in financial consideration paid over the two-years following the transition date of December 31, 2019.</w:t>
      </w:r>
    </w:p>
    <w:p>
      <w:pPr>
        <w:spacing w:after="0" w:line="157" w:lineRule="exact"/>
        <w:rPr>
          <w:sz w:val="20"/>
          <w:szCs w:val="20"/>
          <w:color w:val="auto"/>
        </w:rPr>
      </w:pPr>
    </w:p>
    <w:p>
      <w:pPr>
        <w:ind w:right="120"/>
        <w:spacing w:after="0" w:line="249" w:lineRule="auto"/>
        <w:rPr>
          <w:sz w:val="20"/>
          <w:szCs w:val="20"/>
          <w:color w:val="auto"/>
        </w:rPr>
      </w:pPr>
      <w:r>
        <w:rPr>
          <w:rFonts w:ascii="Arial" w:cs="Arial" w:eastAsia="Arial" w:hAnsi="Arial"/>
          <w:sz w:val="22"/>
          <w:szCs w:val="22"/>
          <w:color w:val="auto"/>
        </w:rPr>
        <w:t>Cumberland's newest marketed brand, Vibativ (</w:t>
      </w:r>
      <w:r>
        <w:rPr>
          <w:rFonts w:ascii="Arial" w:cs="Arial" w:eastAsia="Arial" w:hAnsi="Arial"/>
          <w:sz w:val="22"/>
          <w:szCs w:val="22"/>
          <w:i w:val="1"/>
          <w:iCs w:val="1"/>
          <w:color w:val="auto"/>
        </w:rPr>
        <w:t>telavancin</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was the subject of two favorable clinical publications during 2019. One study showed numerically superior cure rates of telavancin compared to vancomycin within a subset of patients who had hospital-acquired pneumonia. Another study detailed the positive clinical outcomes that resulted from treating multiple infection types with Vibativ, including complicated skin and skin structure infections, bone and joint infections, bacteremia and endocarditis, and lower respiratory tract infections.</w:t>
      </w:r>
    </w:p>
    <w:p>
      <w:pPr>
        <w:spacing w:after="0" w:line="152"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Meanwhile, Cumberland continued to advance its clinical programs in 2019. Near the end of 2019, Cumberland was awarded $1 million in grant funding from the FDA to support a Phase II clinical program to study ifetroban for the treatment of cardiomyopathy associated with Duchenne Muscular Dystrophy ("DMD"). DMD is a rare, fatal, genetic neuromuscular disease and is characterized by the progressive loss of muscle which results in deterioration of the skeletal, heart and lung muscles.</w:t>
      </w:r>
    </w:p>
    <w:p>
      <w:pPr>
        <w:spacing w:after="0" w:line="102" w:lineRule="exact"/>
        <w:rPr>
          <w:sz w:val="20"/>
          <w:szCs w:val="20"/>
          <w:color w:val="auto"/>
        </w:rPr>
      </w:pPr>
    </w:p>
    <w:p>
      <w:pPr>
        <w:ind w:right="160"/>
        <w:spacing w:after="0" w:line="265" w:lineRule="auto"/>
        <w:rPr>
          <w:sz w:val="20"/>
          <w:szCs w:val="20"/>
          <w:color w:val="auto"/>
        </w:rPr>
      </w:pPr>
      <w:r>
        <w:rPr>
          <w:rFonts w:ascii="Arial" w:cs="Arial" w:eastAsia="Arial" w:hAnsi="Arial"/>
          <w:sz w:val="21"/>
          <w:szCs w:val="21"/>
          <w:color w:val="auto"/>
        </w:rPr>
        <w:t>Early in 2019, Cumberland received FDA approval for its next generation of Caldolor, featuring an improved formulation in a ready-to-use presentation. The Company then commenced an initial launch focused on a select group of key hospitals across the United States. During the third and fourth quarters of 2019, there was a growing demand for the new product from the select accounts and Cumberland began planning for a full-scale national launch in early 2020.</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Cumberland also completed its study of Caldolor in patients ranging from newborn to six months of age. Topline results from this study show no safety concerns and similar blood levels to that of older children. Cumberland is now finalizing the study report for submission to the FDA and will pursue label expansion based on this information.</w:t>
      </w:r>
    </w:p>
    <w:p>
      <w:pPr>
        <w:spacing w:after="0" w:line="145" w:lineRule="exact"/>
        <w:rPr>
          <w:sz w:val="20"/>
          <w:szCs w:val="20"/>
          <w:color w:val="auto"/>
        </w:rPr>
      </w:pPr>
    </w:p>
    <w:p>
      <w:pPr>
        <w:ind w:right="120"/>
        <w:spacing w:after="0" w:line="343" w:lineRule="auto"/>
        <w:rPr>
          <w:sz w:val="20"/>
          <w:szCs w:val="20"/>
          <w:color w:val="auto"/>
        </w:rPr>
      </w:pPr>
      <w:r>
        <w:rPr>
          <w:rFonts w:ascii="Arial" w:cs="Arial" w:eastAsia="Arial" w:hAnsi="Arial"/>
          <w:sz w:val="19"/>
          <w:szCs w:val="19"/>
          <w:color w:val="auto"/>
        </w:rPr>
        <w:t>Near the end of 2019, Cumberland received FDA approval for RediTrex, its new line of injectable products designed for treating patients with arthritis and psoriasis. The Company now is actively preparing for the national launch of RediTrex in 2020.</w:t>
      </w:r>
    </w:p>
    <w:p>
      <w:pPr>
        <w:sectPr>
          <w:pgSz w:w="11900" w:h="16838" w:orient="portrait"/>
          <w:cols w:equalWidth="0" w:num="1">
            <w:col w:w="11240"/>
          </w:cols>
          <w:pgMar w:left="320" w:top="34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233" w:lineRule="exact"/>
        <w:rPr>
          <w:sz w:val="20"/>
          <w:szCs w:val="20"/>
          <w:color w:val="auto"/>
        </w:rPr>
      </w:pPr>
    </w:p>
    <w:p>
      <w:pPr>
        <w:jc w:val="both"/>
        <w:spacing w:after="0" w:line="219" w:lineRule="auto"/>
        <w:rPr>
          <w:sz w:val="20"/>
          <w:szCs w:val="20"/>
          <w:color w:val="auto"/>
        </w:rPr>
      </w:pPr>
      <w:r>
        <w:rPr>
          <w:rFonts w:ascii="Arial" w:cs="Arial" w:eastAsia="Arial" w:hAnsi="Arial"/>
          <w:sz w:val="22"/>
          <w:szCs w:val="22"/>
          <w:b w:val="1"/>
          <w:bCs w:val="1"/>
          <w:color w:val="auto"/>
        </w:rPr>
        <w:t xml:space="preserve">Net Revenue: </w:t>
      </w:r>
      <w:r>
        <w:rPr>
          <w:rFonts w:ascii="Arial" w:cs="Arial" w:eastAsia="Arial" w:hAnsi="Arial"/>
          <w:sz w:val="22"/>
          <w:szCs w:val="22"/>
          <w:color w:val="auto"/>
        </w:rPr>
        <w:t>For the three months ended December 31, 2019, net revenues were $13.7 million, up 1% from $13.5 million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prior year period. Net revenue by product for the three months ended December 31, 2019, included $4.4 million for Ethyol</w:t>
      </w:r>
      <w:r>
        <w:rPr>
          <w:rFonts w:ascii="Arial" w:cs="Arial" w:eastAsia="Arial" w:hAnsi="Arial"/>
          <w:sz w:val="28"/>
          <w:szCs w:val="28"/>
          <w:color w:val="auto"/>
          <w:vertAlign w:val="superscript"/>
        </w:rPr>
        <w:t>®</w:t>
      </w:r>
      <w:r>
        <w:rPr>
          <w:rFonts w:ascii="Arial" w:cs="Arial" w:eastAsia="Arial" w:hAnsi="Arial"/>
          <w:sz w:val="22"/>
          <w:szCs w:val="22"/>
          <w:color w:val="auto"/>
        </w:rPr>
        <w:t>, $3.2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 $2.5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$1.7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 and $1.2 million for Acetadote</w:t>
      </w:r>
      <w:r>
        <w:rPr>
          <w:rFonts w:ascii="Arial" w:cs="Arial" w:eastAsia="Arial" w:hAnsi="Arial"/>
          <w:sz w:val="28"/>
          <w:szCs w:val="28"/>
          <w:color w:val="auto"/>
          <w:vertAlign w:val="superscript"/>
        </w:rPr>
        <w:t>®</w:t>
      </w:r>
      <w:r>
        <w:rPr>
          <w:rFonts w:ascii="Arial" w:cs="Arial" w:eastAsia="Arial" w:hAnsi="Arial"/>
          <w:sz w:val="22"/>
          <w:szCs w:val="22"/>
          <w:color w:val="auto"/>
        </w:rPr>
        <w:t>, which included the Company's Brand and Authorized Generic products.</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For the year ended December 31, 2019, net revenues were $47.5 million, a 17% increase compared to $40.7 million for the year ended December 31, 2018.</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Total operating expenses for the three months ended December 31, 2019 were $14.7 million, down from</w:t>
      </w:r>
      <w:r>
        <w:rPr>
          <w:rFonts w:ascii="Arial" w:cs="Arial" w:eastAsia="Arial" w:hAnsi="Arial"/>
          <w:sz w:val="22"/>
          <w:szCs w:val="22"/>
          <w:b w:val="1"/>
          <w:bCs w:val="1"/>
          <w:color w:val="auto"/>
        </w:rPr>
        <w:t xml:space="preserve"> </w:t>
      </w:r>
      <w:r>
        <w:rPr>
          <w:rFonts w:ascii="Arial" w:cs="Arial" w:eastAsia="Arial" w:hAnsi="Arial"/>
          <w:sz w:val="22"/>
          <w:szCs w:val="22"/>
          <w:color w:val="auto"/>
        </w:rPr>
        <w:t>$15.8 million for the prior year period. Total operating expenses for the year ended December 31, 2019 were $51.2 million, compared to $48.1 million for 2018 . The full-year expense increases include additional costs of products sold and an increase in amortization, a non-cash expense.</w:t>
      </w:r>
    </w:p>
    <w:p>
      <w:pPr>
        <w:spacing w:after="0" w:line="136"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Adjusted Earnings: </w:t>
      </w:r>
      <w:r>
        <w:rPr>
          <w:rFonts w:ascii="Arial" w:cs="Arial" w:eastAsia="Arial" w:hAnsi="Arial"/>
          <w:sz w:val="19"/>
          <w:szCs w:val="19"/>
          <w:color w:val="auto"/>
        </w:rPr>
        <w:t>Adjusted Earnings for the three months ended December 31, 2019 were $1.5 million, or $0.09 per share,</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$1.6 million, or $0.10 per share in for the prior year period. Adjusted Earnings for the full year ended December 31, 2019 were $5.0 million, or $0.32 per share, a significant increase over the loss of $(0.5) million, or $(0.03) per share in 2018.</w:t>
      </w:r>
    </w:p>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performance measure represents net income attributable to common shareholders with adjustments for the impact of income taxes, depreciation, amortization, share based compensation expenses, Vibativ costs of products sold, and expenses that are non-core to the operating performance of the period. The definition and the reconciliation of Adjusted Earnings are provided in this release.</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December 31, 2019, Cumberland had $28.2 million in cash and marketable securities. Total assets at</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2019 were $104.5 million. Total Liabilities were $53.5 million, including $18.5 million outstanding on the Company's revolving line of credit and $8.6 million related to contingent liabilities related to the Vibativ acquisition, resulting in Total Shareholder's Equity of $51.1 million.</w:t>
      </w:r>
    </w:p>
    <w:p>
      <w:pPr>
        <w:sectPr>
          <w:pgSz w:w="11900" w:h="16838" w:orient="portrait"/>
          <w:cols w:equalWidth="0" w:num="1">
            <w:col w:w="11240"/>
          </w:cols>
          <w:pgMar w:left="320" w:top="39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Conference Call and Webcast</w:t>
      </w:r>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A conference call and live Internet webcast will be held on Wednesday, March 18, 2020 at 4:30 p.m. Eastern Time to discuss the Company's fourth quarter and annual 2019 financial results. To participate in the call, please dial 877-303-1298 (for U.S. callers) or 253-237-1032 (for international callers). A rebroadcast of the teleconference will be available for one week and can be accessed by dialing 855-859-2056 (for U.S. callers) or 404-537-3406 (for international callers). The Conference ID for the rebroadcast is 9759981. The live webcast and rebroadcast can be accessed via Cumberland's website at </w:t>
      </w:r>
      <w:r>
        <w:rPr>
          <w:rFonts w:ascii="Arial" w:cs="Arial" w:eastAsia="Arial" w:hAnsi="Arial"/>
          <w:sz w:val="22"/>
          <w:szCs w:val="22"/>
          <w:u w:val="single" w:color="auto"/>
          <w:color w:val="0000FF"/>
        </w:rPr>
        <w:t>http://investor.cumberlandpharma.com/events-calendar</w:t>
      </w:r>
      <w:r>
        <w:rPr>
          <w:rFonts w:ascii="Arial" w:cs="Arial" w:eastAsia="Arial" w:hAnsi="Arial"/>
          <w:sz w:val="22"/>
          <w:szCs w:val="22"/>
          <w:color w:val="000000"/>
        </w:rPr>
        <w: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Cumberland Pharmaceuticals Inc. is a specialty pharmaceutical company focused on the delivery of high- quality prescription brands to improve patient care. The Company develops, acquires and commercializes brands for the hospital acute care and gastroenterology market segments. These medical specialties are categorized by moderately concentrated prescriber bases that we believe can be penetrated effectively by targeted sales forces. The Company’s portfolio of FDA approved brands includes:</w:t>
      </w:r>
    </w:p>
    <w:p>
      <w:pPr>
        <w:spacing w:after="0" w:line="87" w:lineRule="exact"/>
        <w:rPr>
          <w:sz w:val="20"/>
          <w:szCs w:val="20"/>
          <w:color w:val="auto"/>
        </w:rPr>
      </w:pPr>
    </w:p>
    <w:p>
      <w:pPr>
        <w:ind w:left="580" w:hanging="329"/>
        <w:spacing w:after="0"/>
        <w:tabs>
          <w:tab w:leader="none" w:pos="580" w:val="left"/>
        </w:tabs>
        <w:numPr>
          <w:ilvl w:val="1"/>
          <w:numId w:val="4"/>
        </w:numPr>
        <w:rPr>
          <w:rFonts w:ascii="Arial" w:cs="Arial" w:eastAsia="Arial" w:hAnsi="Arial"/>
          <w:sz w:val="22"/>
          <w:szCs w:val="22"/>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110" w:lineRule="exact"/>
        <w:rPr>
          <w:rFonts w:ascii="Arial" w:cs="Arial" w:eastAsia="Arial" w:hAnsi="Arial"/>
          <w:sz w:val="22"/>
          <w:szCs w:val="22"/>
          <w:color w:val="auto"/>
        </w:rPr>
      </w:pPr>
    </w:p>
    <w:p>
      <w:pPr>
        <w:ind w:left="580" w:hanging="329"/>
        <w:spacing w:after="0"/>
        <w:tabs>
          <w:tab w:leader="none" w:pos="580" w:val="left"/>
        </w:tabs>
        <w:numPr>
          <w:ilvl w:val="1"/>
          <w:numId w:val="4"/>
        </w:numPr>
        <w:rPr>
          <w:rFonts w:ascii="Arial" w:cs="Arial" w:eastAsia="Arial" w:hAnsi="Arial"/>
          <w:sz w:val="22"/>
          <w:szCs w:val="22"/>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110" w:lineRule="exact"/>
        <w:rPr>
          <w:rFonts w:ascii="Arial" w:cs="Arial" w:eastAsia="Arial" w:hAnsi="Arial"/>
          <w:sz w:val="22"/>
          <w:szCs w:val="22"/>
          <w:color w:val="auto"/>
        </w:rPr>
      </w:pPr>
    </w:p>
    <w:p>
      <w:pPr>
        <w:ind w:left="580" w:hanging="329"/>
        <w:spacing w:after="0"/>
        <w:tabs>
          <w:tab w:leader="none" w:pos="580"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Kristalose</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lactulose</w:t>
      </w:r>
      <w:r>
        <w:rPr>
          <w:rFonts w:ascii="Arial" w:cs="Arial" w:eastAsia="Arial" w:hAnsi="Arial"/>
          <w:sz w:val="20"/>
          <w:szCs w:val="20"/>
          <w:color w:val="auto"/>
        </w:rPr>
        <w:t>) for Oral Solution, a prescription laxative, for the treatment of chronic and acute constipation;</w:t>
      </w:r>
    </w:p>
    <w:p>
      <w:pPr>
        <w:spacing w:after="0" w:line="133" w:lineRule="exact"/>
        <w:rPr>
          <w:rFonts w:ascii="Arial" w:cs="Arial" w:eastAsia="Arial" w:hAnsi="Arial"/>
          <w:sz w:val="20"/>
          <w:szCs w:val="20"/>
          <w:color w:val="auto"/>
        </w:rPr>
      </w:pPr>
    </w:p>
    <w:p>
      <w:pPr>
        <w:ind w:left="580" w:hanging="329"/>
        <w:spacing w:after="0" w:line="227" w:lineRule="auto"/>
        <w:tabs>
          <w:tab w:leader="none" w:pos="580" w:val="left"/>
        </w:tabs>
        <w:numPr>
          <w:ilvl w:val="1"/>
          <w:numId w:val="4"/>
        </w:numPr>
        <w:rPr>
          <w:rFonts w:ascii="Arial" w:cs="Arial" w:eastAsia="Arial" w:hAnsi="Arial"/>
          <w:sz w:val="22"/>
          <w:szCs w:val="22"/>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 infection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related duodenal ulcer disease;</w:t>
      </w:r>
    </w:p>
    <w:p>
      <w:pPr>
        <w:spacing w:after="0" w:line="144" w:lineRule="exact"/>
        <w:rPr>
          <w:rFonts w:ascii="Arial" w:cs="Arial" w:eastAsia="Arial" w:hAnsi="Arial"/>
          <w:sz w:val="22"/>
          <w:szCs w:val="22"/>
          <w:color w:val="auto"/>
        </w:rPr>
      </w:pPr>
    </w:p>
    <w:p>
      <w:pPr>
        <w:ind w:left="580" w:hanging="329"/>
        <w:spacing w:after="0" w:line="227" w:lineRule="auto"/>
        <w:tabs>
          <w:tab w:leader="none" w:pos="580" w:val="left"/>
        </w:tabs>
        <w:numPr>
          <w:ilvl w:val="1"/>
          <w:numId w:val="4"/>
        </w:numPr>
        <w:rPr>
          <w:rFonts w:ascii="Arial" w:cs="Arial" w:eastAsia="Arial" w:hAnsi="Arial"/>
          <w:sz w:val="22"/>
          <w:szCs w:val="22"/>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 hypervolemic</w:t>
      </w:r>
      <w:r>
        <w:rPr>
          <w:rFonts w:ascii="Arial" w:cs="Arial" w:eastAsia="Arial" w:hAnsi="Arial"/>
          <w:sz w:val="22"/>
          <w:szCs w:val="22"/>
          <w:b w:val="1"/>
          <w:bCs w:val="1"/>
          <w:color w:val="auto"/>
        </w:rPr>
        <w:t xml:space="preserve"> </w:t>
      </w:r>
      <w:r>
        <w:rPr>
          <w:rFonts w:ascii="Arial" w:cs="Arial" w:eastAsia="Arial" w:hAnsi="Arial"/>
          <w:sz w:val="22"/>
          <w:szCs w:val="22"/>
          <w:color w:val="auto"/>
        </w:rPr>
        <w:t>hyponatremia;</w:t>
      </w:r>
    </w:p>
    <w:p>
      <w:pPr>
        <w:spacing w:after="0" w:line="144" w:lineRule="exact"/>
        <w:rPr>
          <w:rFonts w:ascii="Arial" w:cs="Arial" w:eastAsia="Arial" w:hAnsi="Arial"/>
          <w:sz w:val="22"/>
          <w:szCs w:val="22"/>
          <w:color w:val="auto"/>
        </w:rPr>
      </w:pPr>
    </w:p>
    <w:p>
      <w:pPr>
        <w:ind w:left="560" w:hanging="323"/>
        <w:spacing w:after="0" w:line="237" w:lineRule="auto"/>
        <w:tabs>
          <w:tab w:leader="none" w:pos="56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Vibativ</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telavancin</w:t>
      </w:r>
      <w:r>
        <w:rPr>
          <w:rFonts w:ascii="Arial" w:cs="Arial" w:eastAsia="Arial" w:hAnsi="Arial"/>
          <w:sz w:val="21"/>
          <w:szCs w:val="21"/>
          <w:color w:val="auto"/>
        </w:rPr>
        <w:t>) Injection, for the treatment of certain serious bacterial infections including hospital-acquired and</w:t>
      </w:r>
      <w:r>
        <w:rPr>
          <w:rFonts w:ascii="Arial" w:cs="Arial" w:eastAsia="Arial" w:hAnsi="Arial"/>
          <w:sz w:val="21"/>
          <w:szCs w:val="21"/>
          <w:b w:val="1"/>
          <w:bCs w:val="1"/>
          <w:color w:val="auto"/>
        </w:rPr>
        <w:t xml:space="preserve"> </w:t>
      </w:r>
      <w:r>
        <w:rPr>
          <w:rFonts w:ascii="Arial" w:cs="Arial" w:eastAsia="Arial" w:hAnsi="Arial"/>
          <w:sz w:val="21"/>
          <w:szCs w:val="21"/>
          <w:color w:val="auto"/>
        </w:rPr>
        <w:t>ventilator-associated bacterial pneumonia, as well as complicated skin and skin structure infections;</w:t>
      </w:r>
    </w:p>
    <w:p>
      <w:pPr>
        <w:spacing w:after="0" w:line="152" w:lineRule="exact"/>
        <w:rPr>
          <w:rFonts w:ascii="Arial" w:cs="Arial" w:eastAsia="Arial" w:hAnsi="Arial"/>
          <w:sz w:val="21"/>
          <w:szCs w:val="21"/>
          <w:color w:val="auto"/>
        </w:rPr>
      </w:pPr>
    </w:p>
    <w:p>
      <w:pPr>
        <w:ind w:left="560" w:right="580" w:hanging="323"/>
        <w:spacing w:after="0" w:line="269" w:lineRule="auto"/>
        <w:tabs>
          <w:tab w:leader="none" w:pos="56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RediTrex™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w:t>
      </w:r>
    </w:p>
    <w:p>
      <w:pPr>
        <w:spacing w:after="0" w:line="12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For more information on Cumberland’s approved products, including full prescribing information, please visit the individual product websites, links to which can be found on the Company’s website </w:t>
      </w:r>
      <w:r>
        <w:rPr>
          <w:rFonts w:ascii="Arial" w:cs="Arial" w:eastAsia="Arial" w:hAnsi="Arial"/>
          <w:sz w:val="22"/>
          <w:szCs w:val="22"/>
          <w:u w:val="single" w:color="auto"/>
          <w:color w:val="0000FF"/>
        </w:rPr>
        <w:t>www.cumberlandpharma.com</w:t>
      </w:r>
      <w:r>
        <w:rPr>
          <w:rFonts w:ascii="Arial" w:cs="Arial" w:eastAsia="Arial" w:hAnsi="Arial"/>
          <w:sz w:val="22"/>
          <w:szCs w:val="22"/>
          <w:color w:val="auto"/>
        </w:rPr>
        <w:t>.</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has Phase II clinical programs underway evaluating its ifetroban product candidates in patients with cardiomyopathy associated with Duchenne Muscular Dystrophy (“DMD”), Systemic Sclerosis (“SSc”), and Aspirin-Exacerbated Respiratory Disease ("AERD"), Hepatorenal Syndrome (“HRS”) and Portal Hypertension (“PH”).</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5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w:t>
      </w:r>
    </w:p>
    <w:p>
      <w:pPr>
        <w:sectPr>
          <w:pgSz w:w="11900" w:h="16838" w:orient="portrait"/>
          <w:cols w:equalWidth="0" w:num="1">
            <w:col w:w="11240"/>
          </w:cols>
          <w:pgMar w:left="320" w:top="693" w:right="339" w:bottom="1440" w:gutter="0" w:footer="0" w:header="0"/>
        </w:sectPr>
      </w:pPr>
    </w:p>
    <w:bookmarkStart w:id="7" w:name="page8"/>
    <w:bookmarkEnd w:id="7"/>
    <w:p>
      <w:pPr>
        <w:jc w:val="both"/>
        <w:spacing w:after="0" w:line="260" w:lineRule="auto"/>
        <w:rPr>
          <w:sz w:val="20"/>
          <w:szCs w:val="20"/>
          <w:color w:val="auto"/>
        </w:rPr>
      </w:pPr>
      <w:r>
        <w:rPr>
          <w:rFonts w:ascii="Arial" w:cs="Arial" w:eastAsia="Arial" w:hAnsi="Arial"/>
          <w:sz w:val="21"/>
          <w:szCs w:val="21"/>
          <w:color w:val="auto"/>
        </w:rPr>
        <w:t xml:space="preserve">over-the-counter medications. Acetadote is contraindicated in patients with hypersensitivity or previous anaphylactoid reactions to acetylcysteine or any components of the preparation. Serious anaphylactoid reactions, including death in a patient with asthma, have been reported in patients administered acetylcysteine intravenously. Acetadote should be used with caution in patients with asthma or where there is a history of bronchospasm. The total volume administered should be adjusted for patients weighing less than 40 kg and for those requiring fluid restriction. To avoid fluid overload, the volume of diluent should be reduced as needed. If volume is not adjusted, fluid overload can occur, potentially resulting in hyponatremia, seizure and death. For full prescribing information, visit </w:t>
      </w:r>
      <w:r>
        <w:rPr>
          <w:rFonts w:ascii="Arial" w:cs="Arial" w:eastAsia="Arial" w:hAnsi="Arial"/>
          <w:sz w:val="21"/>
          <w:szCs w:val="21"/>
          <w:u w:val="single" w:color="auto"/>
          <w:color w:val="0563C1"/>
        </w:rPr>
        <w:t>www.acetadote.com</w:t>
      </w:r>
      <w:r>
        <w:rPr>
          <w:rFonts w:ascii="Arial" w:cs="Arial" w:eastAsia="Arial" w:hAnsi="Arial"/>
          <w:sz w:val="21"/>
          <w:szCs w:val="21"/>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Caldolor is indicated in adults and pediatric patients for the management of mild to moderate pain and management of moderate to severe pain as an adjunct to opioid analgesics, as well as the reduction of fever. It was the first FDA-approved intravenous therapy for fever.</w:t>
      </w: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Caldolor should be used with caution in patients with prior history of ulcer disease or GI bleeding, in patients with fluid retention or heart failure, in the elderly, those with renal impairment, heart failure, liver impairment, and those taking diuretics or ACE inhibitors. Blood pressure should be monitored during treatment with Caldolor. For full prescribing information, including boxed warning, visit </w:t>
      </w:r>
      <w:r>
        <w:rPr>
          <w:rFonts w:ascii="Arial" w:cs="Arial" w:eastAsia="Arial" w:hAnsi="Arial"/>
          <w:sz w:val="19"/>
          <w:szCs w:val="19"/>
          <w:u w:val="single" w:color="auto"/>
          <w:color w:val="0000FF"/>
        </w:rPr>
        <w:t>www.caldolor.com</w:t>
      </w:r>
      <w:r>
        <w:rPr>
          <w:rFonts w:ascii="Arial" w:cs="Arial" w:eastAsia="Arial" w:hAnsi="Arial"/>
          <w:sz w:val="19"/>
          <w:szCs w:val="19"/>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Kristalose is indicated for the treatment of acute and chronic constipation. It is a unique, proprietary, crystalline form of lactulose, with no restrictions on length of therapy or patient age. Initial dosing may produce flatulence and intestinal cramps, which are usually transient. Excessive dosage can lead to diarrhea with potential complications such as loss of fluids, hypokalemia and hypernatremia. Nausea and vomiting have been reported. Use with caution in diabetics.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Kristalose is contraindicated in patients who require a low-galactose diet. Elderly, debilitated patients who receive lactulose for more than six months should have serum electrolytes (potassium, chloride, carbon dioxide) measured periodically. For full prescribing information, visit </w:t>
      </w:r>
      <w:r>
        <w:rPr>
          <w:rFonts w:ascii="Arial" w:cs="Arial" w:eastAsia="Arial" w:hAnsi="Arial"/>
          <w:sz w:val="22"/>
          <w:szCs w:val="22"/>
          <w:u w:val="single" w:color="auto"/>
          <w:color w:val="0000FF"/>
        </w:rPr>
        <w:t>www.kristalose.com</w:t>
      </w:r>
      <w:r>
        <w:rPr>
          <w:rFonts w:ascii="Arial" w:cs="Arial" w:eastAsia="Arial" w:hAnsi="Arial"/>
          <w:sz w:val="22"/>
          <w:szCs w:val="22"/>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The safety and effectiveness of Omeclamox-Pak in the pediatric population has not yet been established. Omeclamox-Pak was approved by the U.S. Food and Drug Administration in 2011. For full prescribing information, visit </w:t>
      </w:r>
      <w:r>
        <w:rPr>
          <w:rFonts w:ascii="Arial" w:cs="Arial" w:eastAsia="Arial" w:hAnsi="Arial"/>
          <w:sz w:val="19"/>
          <w:szCs w:val="19"/>
          <w:u w:val="single" w:color="auto"/>
          <w:color w:val="0000FF"/>
        </w:rPr>
        <w:t>www.omeclamox.com</w:t>
      </w:r>
      <w:r>
        <w:rPr>
          <w:rFonts w:ascii="Arial" w:cs="Arial" w:eastAsia="Arial" w:hAnsi="Arial"/>
          <w:sz w:val="19"/>
          <w:szCs w:val="19"/>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was approved by the U.S. Food and Drug Administration in 2005 for euvolemic hyponatremia and in 2007 for hypervolemic hyponatremia. For full prescribing information, visit </w:t>
      </w:r>
      <w:r>
        <w:rPr>
          <w:rFonts w:ascii="Arial" w:cs="Arial" w:eastAsia="Arial" w:hAnsi="Arial"/>
          <w:sz w:val="22"/>
          <w:szCs w:val="22"/>
          <w:u w:val="single" w:color="auto"/>
          <w:color w:val="0000FF"/>
        </w:rPr>
        <w:t>www.vaprisol.com</w:t>
      </w:r>
      <w:r>
        <w:rPr>
          <w:rFonts w:ascii="Arial" w:cs="Arial" w:eastAsia="Arial" w:hAnsi="Arial"/>
          <w:sz w:val="22"/>
          <w:szCs w:val="22"/>
          <w:color w:val="auto"/>
        </w:rPr>
        <w:t>.</w:t>
      </w:r>
    </w:p>
    <w:p>
      <w:pPr>
        <w:sectPr>
          <w:pgSz w:w="11900" w:h="16838" w:orient="portrait"/>
          <w:cols w:equalWidth="0" w:num="1">
            <w:col w:w="11240"/>
          </w:cols>
          <w:pgMar w:left="320" w:top="672"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57"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 xml:space="preserve">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For more information please visit </w:t>
      </w:r>
      <w:r>
        <w:rPr>
          <w:rFonts w:ascii="Arial" w:cs="Arial" w:eastAsia="Arial" w:hAnsi="Arial"/>
          <w:sz w:val="22"/>
          <w:szCs w:val="22"/>
          <w:u w:val="single" w:color="auto"/>
          <w:color w:val="0563C1"/>
        </w:rPr>
        <w:t>www.vibativ.com.</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Cumberland Emerging Technologies (CET)</w:t>
      </w:r>
    </w:p>
    <w:p>
      <w:pPr>
        <w:spacing w:after="0" w:line="293"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Cumberland Emerging Technologies, Inc. (</w:t>
      </w:r>
      <w:r>
        <w:rPr>
          <w:rFonts w:ascii="Arial" w:cs="Arial" w:eastAsia="Arial" w:hAnsi="Arial"/>
          <w:sz w:val="19"/>
          <w:szCs w:val="19"/>
          <w:u w:val="single" w:color="auto"/>
          <w:color w:val="0000FF"/>
        </w:rPr>
        <w:t>www.cet-fund.com</w:t>
      </w:r>
      <w:r>
        <w:rPr>
          <w:rFonts w:ascii="Arial" w:cs="Arial" w:eastAsia="Arial" w:hAnsi="Arial"/>
          <w:sz w:val="19"/>
          <w:szCs w:val="19"/>
          <w:color w:val="auto"/>
        </w:rPr>
        <w:t>) is a joint initiative between Cumberland Pharmaceuticals Inc., Vanderbilt University, LaunchTN, and Gloria Pharmaceuticals. The mission of CET is to advance biomedical technologies and products conceived at Vanderbilt University and other regional research centers towards the marketplace.</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produce Cumberland's products on a timely basis or failure of manufacturers to comply with regulations applicable to pharmaceutical manufacturers, maintaining an effective sales and marketing infrastructure,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Investor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260"/>
        <w:spacing w:after="0"/>
        <w:rPr>
          <w:sz w:val="20"/>
          <w:szCs w:val="20"/>
          <w:color w:val="auto"/>
        </w:rPr>
      </w:pPr>
      <w:r>
        <w:rPr>
          <w:rFonts w:ascii="Arial" w:cs="Arial" w:eastAsia="Arial" w:hAnsi="Arial"/>
          <w:sz w:val="17"/>
          <w:szCs w:val="17"/>
          <w:b w:val="1"/>
          <w:bCs w:val="1"/>
          <w:color w:val="auto"/>
        </w:rPr>
        <w:t>Media Contact:</w:t>
      </w:r>
    </w:p>
    <w:p>
      <w:pPr>
        <w:spacing w:after="0" w:line="79" w:lineRule="exact"/>
        <w:rPr>
          <w:sz w:val="20"/>
          <w:szCs w:val="20"/>
          <w:color w:val="auto"/>
        </w:rPr>
      </w:pPr>
    </w:p>
    <w:p>
      <w:pPr>
        <w:sectPr>
          <w:pgSz w:w="11900" w:h="16838" w:orient="portrait"/>
          <w:cols w:equalWidth="0" w:num="2">
            <w:col w:w="5040" w:space="720"/>
            <w:col w:w="5480"/>
          </w:cols>
          <w:pgMar w:left="320" w:top="657" w:right="339" w:bottom="1440" w:gutter="0" w:footer="0" w:header="0"/>
          <w:type w:val="continuous"/>
        </w:sectPr>
      </w:pPr>
    </w:p>
    <w:p>
      <w:pPr>
        <w:ind w:left="520"/>
        <w:spacing w:after="0"/>
        <w:rPr>
          <w:sz w:val="20"/>
          <w:szCs w:val="20"/>
          <w:color w:val="auto"/>
        </w:rPr>
      </w:pPr>
      <w:r>
        <w:rPr>
          <w:rFonts w:ascii="Arial" w:cs="Arial" w:eastAsia="Arial" w:hAnsi="Arial"/>
          <w:sz w:val="18"/>
          <w:szCs w:val="18"/>
          <w:color w:val="auto"/>
        </w:rPr>
        <w:t>Erin Gull</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Corporate Relations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(615) 255-0068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Jeff Bradford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Bradford Group</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(615) 515-4880</w:t>
      </w:r>
    </w:p>
    <w:p>
      <w:pPr>
        <w:spacing w:after="0" w:line="200" w:lineRule="exact"/>
        <w:rPr>
          <w:sz w:val="20"/>
          <w:szCs w:val="20"/>
          <w:color w:val="auto"/>
        </w:rPr>
      </w:pPr>
    </w:p>
    <w:p>
      <w:pPr>
        <w:sectPr>
          <w:pgSz w:w="11900" w:h="16838" w:orient="portrait"/>
          <w:cols w:equalWidth="0" w:num="2">
            <w:col w:w="5040" w:space="720"/>
            <w:col w:w="5480"/>
          </w:cols>
          <w:pgMar w:left="320" w:top="657" w:right="33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240"/>
          </w:cols>
          <w:pgMar w:left="320" w:top="657" w:right="3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Balance Sheets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December 31, 2019 and 2018</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33"/>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28,212,635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27,938,960</w:t>
            </w:r>
          </w:p>
        </w:tc>
      </w:tr>
      <w:tr>
        <w:trPr>
          <w:trHeight w:val="243"/>
        </w:trPr>
        <w:tc>
          <w:tcPr>
            <w:tcW w:w="548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8,290,679</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9,781,463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7,844,249</w:t>
            </w:r>
          </w:p>
        </w:tc>
      </w:tr>
      <w:tr>
        <w:trPr>
          <w:trHeight w:val="243"/>
        </w:trPr>
        <w:tc>
          <w:tcPr>
            <w:tcW w:w="548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9,411,521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12,078,343</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2,757,456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2,963,806</w:t>
            </w:r>
          </w:p>
        </w:tc>
      </w:tr>
      <w:tr>
        <w:trPr>
          <w:trHeight w:val="237"/>
        </w:trPr>
        <w:tc>
          <w:tcPr>
            <w:tcW w:w="548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50,163,075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59,116,037</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15,554,992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15,749,000</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747,796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771,213</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30,920,324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33,655,099</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882,000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784,000</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87,210</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2,960,569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3,298,725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2,531,309</w:t>
            </w:r>
          </w:p>
        </w:tc>
      </w:tr>
      <w:tr>
        <w:trPr>
          <w:trHeight w:val="237"/>
        </w:trPr>
        <w:tc>
          <w:tcPr>
            <w:tcW w:w="54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104,549,283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112,693,868</w:t>
            </w:r>
          </w:p>
        </w:tc>
      </w:tr>
      <w:tr>
        <w:trPr>
          <w:trHeight w:val="67"/>
        </w:trPr>
        <w:tc>
          <w:tcPr>
            <w:tcW w:w="54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54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11,912,446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11,093,297</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920,431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11,317,358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16,710,927</w:t>
            </w:r>
          </w:p>
        </w:tc>
      </w:tr>
      <w:tr>
        <w:trPr>
          <w:trHeight w:val="27"/>
        </w:trPr>
        <w:tc>
          <w:tcPr>
            <w:tcW w:w="5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24,150,235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27,804,224</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Revolving line of credit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20,000,000</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8,737,323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9,319,143</w:t>
            </w:r>
          </w:p>
        </w:tc>
      </w:tr>
      <w:tr>
        <w:trPr>
          <w:trHeight w:val="27"/>
        </w:trPr>
        <w:tc>
          <w:tcPr>
            <w:tcW w:w="5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53,464,030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57,123,367</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 no par value; 100,000,000 shares authorized;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15,263,555 and 15,481,497 shares issued and outstanding as of</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2019 and 2018,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49,914,478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51,098,613</w:t>
            </w:r>
          </w:p>
        </w:tc>
      </w:tr>
      <w:tr>
        <w:trPr>
          <w:trHeight w:val="243"/>
        </w:trPr>
        <w:tc>
          <w:tcPr>
            <w:tcW w:w="54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1,208,395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4,746,154</w:t>
            </w:r>
          </w:p>
        </w:tc>
      </w:tr>
      <w:tr>
        <w:trPr>
          <w:trHeight w:val="27"/>
        </w:trPr>
        <w:tc>
          <w:tcPr>
            <w:tcW w:w="5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51,122,873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55,844,767</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(274,266)</w:t>
            </w:r>
          </w:p>
        </w:tc>
      </w:tr>
      <w:tr>
        <w:trPr>
          <w:trHeight w:val="27"/>
        </w:trPr>
        <w:tc>
          <w:tcPr>
            <w:tcW w:w="5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51,085,253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55,570,501</w:t>
            </w:r>
          </w:p>
        </w:tc>
      </w:tr>
      <w:tr>
        <w:trPr>
          <w:trHeight w:val="236"/>
        </w:trPr>
        <w:tc>
          <w:tcPr>
            <w:tcW w:w="548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104,549,283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112,693,868</w:t>
            </w:r>
          </w:p>
        </w:tc>
      </w:tr>
      <w:tr>
        <w:trPr>
          <w:trHeight w:val="27"/>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625" w:right="1440" w:bottom="1440" w:gutter="0" w:footer="0" w:header="0"/>
        </w:sectPr>
      </w:pPr>
    </w:p>
    <w:bookmarkStart w:id="10" w:name="page11"/>
    <w:bookmarkEnd w:id="10"/>
    <w:p>
      <w:pPr>
        <w:jc w:val="center"/>
        <w:ind w:left="1320" w:right="1400"/>
        <w:spacing w:after="0" w:line="320" w:lineRule="auto"/>
        <w:rPr>
          <w:sz w:val="20"/>
          <w:szCs w:val="20"/>
          <w:color w:val="auto"/>
        </w:rPr>
      </w:pPr>
      <w:r>
        <w:rPr>
          <w:rFonts w:ascii="Arial" w:cs="Arial" w:eastAsia="Arial" w:hAnsi="Arial"/>
          <w:sz w:val="22"/>
          <w:szCs w:val="22"/>
          <w:b w:val="1"/>
          <w:bCs w:val="1"/>
          <w:color w:val="auto"/>
        </w:rPr>
        <w:t xml:space="preserve">CUMBERLAND PHARMACEUTICALS INC. AND SUBSIDIARIES </w:t>
      </w:r>
      <w:r>
        <w:rPr>
          <w:rFonts w:ascii="Arial" w:cs="Arial" w:eastAsia="Arial" w:hAnsi="Arial"/>
          <w:sz w:val="22"/>
          <w:szCs w:val="22"/>
          <w:color w:val="auto"/>
        </w:rPr>
        <w:t>Consolidated Statements of Operations and Comprehensive Income (Loss) (Unaudited)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90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2880" w:type="dxa"/>
            <w:vAlign w:val="bottom"/>
            <w:gridSpan w:val="6"/>
          </w:tcPr>
          <w:p>
            <w:pPr>
              <w:ind w:left="60"/>
              <w:spacing w:after="0"/>
              <w:rPr>
                <w:sz w:val="20"/>
                <w:szCs w:val="20"/>
                <w:color w:val="auto"/>
              </w:rPr>
            </w:pPr>
            <w:r>
              <w:rPr>
                <w:rFonts w:ascii="Arial" w:cs="Arial" w:eastAsia="Arial" w:hAnsi="Arial"/>
                <w:sz w:val="18"/>
                <w:szCs w:val="18"/>
                <w:b w:val="1"/>
                <w:bCs w:val="1"/>
                <w:color w:val="auto"/>
                <w:w w:val="93"/>
              </w:rPr>
              <w:t>Three months ended December 31,</w:t>
            </w:r>
          </w:p>
        </w:tc>
        <w:tc>
          <w:tcPr>
            <w:tcW w:w="280" w:type="dxa"/>
            <w:vAlign w:val="bottom"/>
          </w:tcPr>
          <w:p>
            <w:pPr>
              <w:spacing w:after="0"/>
              <w:rPr>
                <w:sz w:val="20"/>
                <w:szCs w:val="20"/>
                <w:color w:val="auto"/>
              </w:rPr>
            </w:pPr>
          </w:p>
        </w:tc>
        <w:tc>
          <w:tcPr>
            <w:tcW w:w="25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Net product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13,231,839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13,405,273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45,552,587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8"/>
              </w:rPr>
              <w:t>40,200,832</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446,533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1,981,050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540,933</w:t>
            </w:r>
          </w:p>
        </w:tc>
      </w:tr>
      <w:tr>
        <w:trPr>
          <w:trHeight w:val="237"/>
        </w:trPr>
        <w:tc>
          <w:tcPr>
            <w:tcW w:w="4600" w:type="dxa"/>
            <w:vAlign w:val="bottom"/>
          </w:tcPr>
          <w:p>
            <w:pPr>
              <w:ind w:left="28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13,678,372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13,497,906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47,533,637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40,741,765</w:t>
            </w:r>
          </w:p>
        </w:tc>
      </w:tr>
      <w:tr>
        <w:trPr>
          <w:trHeight w:val="27"/>
        </w:trPr>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2,818,213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2,866,352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8,752,020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7,378,095</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5,592,963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5,708,434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21,429,040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20,258,307</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2,079,782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2,785,231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6,478,592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7,575,892</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3,135,405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3,577,569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10,362,433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10,150,777</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1,049,418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823,009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4,134,557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2,769,466</w:t>
            </w:r>
          </w:p>
        </w:tc>
      </w:tr>
      <w:tr>
        <w:trPr>
          <w:trHeight w:val="27"/>
        </w:trPr>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14,675,781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15,760,595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51,156,642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48,132,537</w:t>
            </w: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(997,409)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(2,262,689)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(3,623,005)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(7,390,772)</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243,364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564,484</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(246,186)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(195,848)</w:t>
            </w:r>
          </w:p>
        </w:tc>
      </w:tr>
      <w:tr>
        <w:trPr>
          <w:trHeight w:val="27"/>
        </w:trPr>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(2,232,953)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(3,625,827)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(7,022,136)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79,316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(16,636)</w:t>
            </w:r>
          </w:p>
        </w:tc>
      </w:tr>
      <w:tr>
        <w:trPr>
          <w:trHeight w:val="27"/>
        </w:trPr>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(3,546,511)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(7,038,772)</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w w:val="95"/>
              </w:rPr>
              <w:t>Net loss at subsidiary attributable to noncontrolling interests</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75,704</w:t>
            </w:r>
          </w:p>
        </w:tc>
      </w:tr>
      <w:tr>
        <w:trPr>
          <w:trHeight w:val="27"/>
        </w:trPr>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Net income (loss) attributable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(960,706)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(2,220,097)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(3,537,759)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(6,963,068)</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Earnings per share attributable to common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15,227,514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15,521,564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15,396,098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15,614,052</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15,227,514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15,521,564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15,396,098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15,614,052</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9"/>
        </w:trPr>
        <w:tc>
          <w:tcPr>
            <w:tcW w:w="4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29"/>
        </w:trPr>
        <w:tc>
          <w:tcPr>
            <w:tcW w:w="460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common</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00" w:type="dxa"/>
            <w:vAlign w:val="bottom"/>
          </w:tcPr>
          <w:p>
            <w:pPr>
              <w:ind w:left="40"/>
              <w:spacing w:after="0"/>
              <w:rPr>
                <w:sz w:val="20"/>
                <w:szCs w:val="20"/>
                <w:color w:val="auto"/>
              </w:rPr>
            </w:pPr>
            <w:r>
              <w:rPr>
                <w:rFonts w:ascii="Arial" w:cs="Arial" w:eastAsia="Arial" w:hAnsi="Arial"/>
                <w:sz w:val="18"/>
                <w:szCs w:val="18"/>
                <w:color w:val="auto"/>
              </w:rPr>
              <w:t>shareholders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(960,706)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(2,220,097)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(3,537,759)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(6,963,068)</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 at subsidiary attributable to noncontrolling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75,704</w:t>
            </w:r>
          </w:p>
        </w:tc>
      </w:tr>
      <w:tr>
        <w:trPr>
          <w:trHeight w:val="236"/>
        </w:trPr>
        <w:tc>
          <w:tcPr>
            <w:tcW w:w="460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(972,346)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(2,237,112)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(3,546,511)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(7,038,772)</w:t>
            </w:r>
          </w:p>
        </w:tc>
      </w:tr>
      <w:tr>
        <w:trPr>
          <w:trHeight w:val="27"/>
        </w:trPr>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60"/>
          </w:cols>
          <w:pgMar w:left="320" w:top="625" w:right="1319" w:bottom="1440" w:gutter="0" w:footer="0" w:header="0"/>
        </w:sectPr>
      </w:pPr>
    </w:p>
    <w:bookmarkStart w:id="11" w:name="page12"/>
    <w:bookmarkEnd w:id="11"/>
    <w:p>
      <w:pPr>
        <w:jc w:val="center"/>
        <w:ind w:left="940" w:right="1780"/>
        <w:spacing w:after="0" w:line="309" w:lineRule="auto"/>
        <w:rPr>
          <w:sz w:val="20"/>
          <w:szCs w:val="20"/>
          <w:color w:val="auto"/>
        </w:rPr>
      </w:pPr>
      <w:r>
        <w:rPr>
          <w:rFonts w:ascii="Arial" w:cs="Arial" w:eastAsia="Arial" w:hAnsi="Arial"/>
          <w:sz w:val="22"/>
          <w:szCs w:val="22"/>
          <w:b w:val="1"/>
          <w:bCs w:val="1"/>
          <w:color w:val="auto"/>
        </w:rPr>
        <w:t xml:space="preserve">CUMBERLAND PHARMACEUTICALS INC. AND SUBSIDIARIES </w:t>
      </w:r>
      <w:r>
        <w:rPr>
          <w:rFonts w:ascii="Arial" w:cs="Arial" w:eastAsia="Arial" w:hAnsi="Arial"/>
          <w:sz w:val="22"/>
          <w:szCs w:val="22"/>
          <w:color w:val="auto"/>
        </w:rPr>
        <w:t>Condensed Consolidated Statements of Cash Flows Years ended December 31,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340" w:type="dxa"/>
            <w:vAlign w:val="bottom"/>
          </w:tcPr>
          <w:p>
            <w:pPr>
              <w:spacing w:after="0"/>
              <w:rPr>
                <w:sz w:val="23"/>
                <w:szCs w:val="23"/>
                <w:color w:val="auto"/>
              </w:rPr>
            </w:pPr>
          </w:p>
        </w:tc>
        <w:tc>
          <w:tcPr>
            <w:tcW w:w="2160" w:type="dxa"/>
            <w:vAlign w:val="bottom"/>
            <w:gridSpan w:val="4"/>
          </w:tcPr>
          <w:p>
            <w:pPr>
              <w:ind w:left="200"/>
              <w:spacing w:after="0"/>
              <w:rPr>
                <w:sz w:val="20"/>
                <w:szCs w:val="20"/>
                <w:color w:val="auto"/>
              </w:rPr>
            </w:pPr>
            <w:r>
              <w:rPr>
                <w:rFonts w:ascii="Arial" w:cs="Arial" w:eastAsia="Arial" w:hAnsi="Arial"/>
                <w:sz w:val="22"/>
                <w:szCs w:val="22"/>
                <w:color w:val="auto"/>
              </w:rPr>
              <w:t>(Unaudited)</w:t>
            </w: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821"/>
        </w:trPr>
        <w:tc>
          <w:tcPr>
            <w:tcW w:w="6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ind w:right="59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570"/>
              <w:spacing w:after="0"/>
              <w:rPr>
                <w:sz w:val="20"/>
                <w:szCs w:val="20"/>
                <w:color w:val="auto"/>
              </w:rPr>
            </w:pPr>
            <w:r>
              <w:rPr>
                <w:rFonts w:ascii="Arial" w:cs="Arial" w:eastAsia="Arial" w:hAnsi="Arial"/>
                <w:sz w:val="16"/>
                <w:szCs w:val="16"/>
                <w:b w:val="1"/>
                <w:bCs w:val="1"/>
                <w:color w:val="auto"/>
              </w:rPr>
              <w:t>2018</w:t>
            </w:r>
          </w:p>
        </w:tc>
      </w:tr>
      <w:tr>
        <w:trPr>
          <w:trHeight w:val="33"/>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(3,546,511)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(7,038,772)</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Adjustments to reconcile net income (loss) to net cash flows provided by operating</w:t>
            </w: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4,404,175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2,982,703</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expense</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81,886</w:t>
            </w: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1,485,898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1,364,698</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Excess tax (benefit) expense derived from exercise of stock options</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(81,886)</w:t>
            </w: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Decrease in non-cash contingent consideration</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(804,167)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Noncash 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99,883</w:t>
            </w: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Noncash investment gains</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(168,440)</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(1,937,214)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550,863</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460,505</w:t>
            </w: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Other current assets and other assets</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(587,477)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712,149</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1,824,024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4,308,706</w:t>
            </w: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Other long-term liabilities</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(729,820)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(159,558)</w:t>
            </w:r>
          </w:p>
        </w:tc>
      </w:tr>
      <w:tr>
        <w:trPr>
          <w:trHeight w:val="27"/>
        </w:trPr>
        <w:tc>
          <w:tcPr>
            <w:tcW w:w="63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63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3,056,356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3,112,737</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0"/>
        </w:trPr>
        <w:tc>
          <w:tcPr>
            <w:tcW w:w="6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(455,569)</w:t>
            </w:r>
          </w:p>
        </w:tc>
      </w:tr>
      <w:tr>
        <w:trPr>
          <w:trHeight w:val="243"/>
        </w:trPr>
        <w:tc>
          <w:tcPr>
            <w:tcW w:w="6340" w:type="dxa"/>
            <w:vAlign w:val="bottom"/>
          </w:tcPr>
          <w:p>
            <w:pPr>
              <w:ind w:left="160"/>
              <w:spacing w:after="0"/>
              <w:rPr>
                <w:sz w:val="20"/>
                <w:szCs w:val="20"/>
                <w:color w:val="auto"/>
              </w:rPr>
            </w:pPr>
            <w:r>
              <w:rPr>
                <w:rFonts w:ascii="Arial" w:cs="Arial" w:eastAsia="Arial" w:hAnsi="Arial"/>
                <w:sz w:val="18"/>
                <w:szCs w:val="18"/>
                <w:color w:val="auto"/>
              </w:rPr>
              <w:t>Cash paid for acquisitions</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(20,000,000)</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 to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(772,944)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(3,819,486)</w:t>
            </w:r>
          </w:p>
        </w:tc>
      </w:tr>
      <w:tr>
        <w:trPr>
          <w:trHeight w:val="243"/>
        </w:trPr>
        <w:tc>
          <w:tcPr>
            <w:tcW w:w="6340" w:type="dxa"/>
            <w:vAlign w:val="bottom"/>
          </w:tcPr>
          <w:p>
            <w:pPr>
              <w:ind w:left="160"/>
              <w:spacing w:after="0"/>
              <w:rPr>
                <w:sz w:val="20"/>
                <w:szCs w:val="20"/>
                <w:color w:val="auto"/>
              </w:rPr>
            </w:pPr>
            <w:r>
              <w:rPr>
                <w:rFonts w:ascii="Arial" w:cs="Arial" w:eastAsia="Arial" w:hAnsi="Arial"/>
                <w:sz w:val="18"/>
                <w:szCs w:val="18"/>
                <w:color w:val="auto"/>
              </w:rPr>
              <w:t>Proceeds from sale of marketable securities</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20,062,132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16,122,376</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4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(11,745,138)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(19,572,139)</w:t>
            </w:r>
          </w:p>
        </w:tc>
      </w:tr>
      <w:tr>
        <w:trPr>
          <w:trHeight w:val="237"/>
        </w:trPr>
        <w:tc>
          <w:tcPr>
            <w:tcW w:w="6340" w:type="dxa"/>
            <w:vAlign w:val="bottom"/>
          </w:tcPr>
          <w:p>
            <w:pPr>
              <w:ind w:left="480"/>
              <w:spacing w:after="0"/>
              <w:rPr>
                <w:sz w:val="20"/>
                <w:szCs w:val="20"/>
                <w:color w:val="auto"/>
              </w:rPr>
            </w:pPr>
            <w:r>
              <w:rPr>
                <w:rFonts w:ascii="Arial" w:cs="Arial" w:eastAsia="Arial" w:hAnsi="Arial"/>
                <w:sz w:val="18"/>
                <w:szCs w:val="18"/>
                <w:color w:val="auto"/>
              </w:rPr>
              <w:t>Net cash (used in) provided by investing activities</w:t>
            </w:r>
          </w:p>
        </w:tc>
        <w:tc>
          <w:tcPr>
            <w:tcW w:w="4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2,297,848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(27,724,818)</w:t>
            </w:r>
          </w:p>
        </w:tc>
      </w:tr>
      <w:tr>
        <w:trPr>
          <w:trHeight w:val="27"/>
        </w:trPr>
        <w:tc>
          <w:tcPr>
            <w:tcW w:w="63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160"/>
              <w:spacing w:after="0"/>
              <w:rPr>
                <w:sz w:val="20"/>
                <w:szCs w:val="20"/>
                <w:color w:val="auto"/>
              </w:rPr>
            </w:pPr>
            <w:r>
              <w:rPr>
                <w:rFonts w:ascii="Arial" w:cs="Arial" w:eastAsia="Arial" w:hAnsi="Arial"/>
                <w:sz w:val="18"/>
                <w:szCs w:val="18"/>
                <w:color w:val="auto"/>
              </w:rPr>
              <w:t>Borrowings on line of credit</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76,000,000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56,000,000</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on line of credit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(77,500,000)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(45,800,000)</w:t>
            </w:r>
          </w:p>
        </w:tc>
      </w:tr>
      <w:tr>
        <w:trPr>
          <w:trHeight w:val="243"/>
        </w:trPr>
        <w:tc>
          <w:tcPr>
            <w:tcW w:w="6340" w:type="dxa"/>
            <w:vAlign w:val="bottom"/>
          </w:tcPr>
          <w:p>
            <w:pPr>
              <w:ind w:left="160"/>
              <w:spacing w:after="0"/>
              <w:rPr>
                <w:sz w:val="20"/>
                <w:szCs w:val="20"/>
                <w:color w:val="auto"/>
              </w:rPr>
            </w:pPr>
            <w:r>
              <w:rPr>
                <w:rFonts w:ascii="Arial" w:cs="Arial" w:eastAsia="Arial" w:hAnsi="Arial"/>
                <w:sz w:val="18"/>
                <w:szCs w:val="18"/>
                <w:color w:val="auto"/>
              </w:rPr>
              <w:t>Sales of shares of common stock, net of offering costs</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200,909</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subsidiary shares to noncontrolling interest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160"/>
              <w:spacing w:after="0"/>
              <w:rPr>
                <w:sz w:val="20"/>
                <w:szCs w:val="20"/>
                <w:color w:val="auto"/>
              </w:rPr>
            </w:pPr>
            <w:r>
              <w:rPr>
                <w:rFonts w:ascii="Arial" w:cs="Arial" w:eastAsia="Arial" w:hAnsi="Arial"/>
                <w:sz w:val="18"/>
                <w:szCs w:val="18"/>
                <w:color w:val="auto"/>
              </w:rPr>
              <w:t>Cash payment of contingent consideration</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(1,033,108)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payment of financing costs</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160"/>
              <w:spacing w:after="0"/>
              <w:rPr>
                <w:sz w:val="20"/>
                <w:szCs w:val="20"/>
                <w:color w:val="auto"/>
              </w:rPr>
            </w:pPr>
            <w:r>
              <w:rPr>
                <w:rFonts w:ascii="Arial" w:cs="Arial" w:eastAsia="Arial" w:hAnsi="Arial"/>
                <w:sz w:val="18"/>
                <w:szCs w:val="18"/>
                <w:color w:val="auto"/>
              </w:rPr>
              <w:t>Payments of deferred equity offering costs</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(383,310)</w:t>
            </w:r>
          </w:p>
        </w:tc>
      </w:tr>
      <w:tr>
        <w:trPr>
          <w:trHeight w:val="27"/>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Payments made in connection with repurchase of common shares</w:t>
            </w:r>
          </w:p>
        </w:tc>
        <w:tc>
          <w:tcPr>
            <w:tcW w:w="4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(3,494,921)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(2,879,426)</w:t>
            </w:r>
          </w:p>
        </w:tc>
      </w:tr>
      <w:tr>
        <w:trPr>
          <w:trHeight w:val="236"/>
        </w:trPr>
        <w:tc>
          <w:tcPr>
            <w:tcW w:w="634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(5,080,529)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7,138,173</w:t>
            </w:r>
          </w:p>
        </w:tc>
      </w:tr>
      <w:tr>
        <w:trPr>
          <w:trHeight w:val="27"/>
        </w:trPr>
        <w:tc>
          <w:tcPr>
            <w:tcW w:w="63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(17,473,908)</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27,938,960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45,412,868</w:t>
            </w:r>
          </w:p>
        </w:tc>
      </w:tr>
      <w:tr>
        <w:trPr>
          <w:trHeight w:val="27"/>
        </w:trPr>
        <w:tc>
          <w:tcPr>
            <w:tcW w:w="63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year</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28,212,635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27,938,960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0140"/>
          </w:cols>
          <w:pgMar w:left="820" w:top="625" w:right="9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68" w:lineRule="exact"/>
        <w:rPr>
          <w:sz w:val="20"/>
          <w:szCs w:val="20"/>
          <w:color w:val="auto"/>
        </w:rPr>
      </w:pPr>
    </w:p>
    <w:p>
      <w:pPr>
        <w:jc w:val="center"/>
        <w:ind w:left="340" w:right="80"/>
        <w:spacing w:after="0" w:line="251" w:lineRule="auto"/>
        <w:rPr>
          <w:sz w:val="20"/>
          <w:szCs w:val="20"/>
          <w:color w:val="auto"/>
        </w:rPr>
      </w:pPr>
      <w:r>
        <w:rPr>
          <w:rFonts w:ascii="Arial" w:cs="Arial" w:eastAsia="Arial" w:hAnsi="Arial"/>
          <w:sz w:val="20"/>
          <w:szCs w:val="20"/>
          <w:color w:val="auto"/>
        </w:rPr>
        <w:t>Reconciliation of Net Income (Loss) Attributable to Common Shareholders to Adjusted Earnings (Loss) and Adjusted Diluted Earnings Per Share</w:t>
      </w:r>
    </w:p>
    <w:p>
      <w:pPr>
        <w:jc w:val="center"/>
        <w:spacing w:after="0"/>
        <w:rPr>
          <w:sz w:val="20"/>
          <w:szCs w:val="20"/>
          <w:color w:val="auto"/>
        </w:rPr>
      </w:pPr>
      <w:r>
        <w:rPr>
          <w:rFonts w:ascii="Arial" w:cs="Arial" w:eastAsia="Arial" w:hAnsi="Arial"/>
          <w:sz w:val="22"/>
          <w:szCs w:val="22"/>
          <w:color w:val="auto"/>
        </w:rPr>
        <w:t>(Unaudited)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800" w:type="dxa"/>
            <w:vAlign w:val="bottom"/>
            <w:gridSpan w:val="5"/>
          </w:tcPr>
          <w:p>
            <w:pPr>
              <w:ind w:left="80"/>
              <w:spacing w:after="0"/>
              <w:rPr>
                <w:sz w:val="20"/>
                <w:szCs w:val="20"/>
                <w:color w:val="auto"/>
              </w:rPr>
            </w:pPr>
            <w:r>
              <w:rPr>
                <w:rFonts w:ascii="Arial" w:cs="Arial" w:eastAsia="Arial" w:hAnsi="Arial"/>
                <w:sz w:val="18"/>
                <w:szCs w:val="18"/>
                <w:b w:val="1"/>
                <w:bCs w:val="1"/>
                <w:color w:val="auto"/>
                <w:w w:val="90"/>
              </w:rPr>
              <w:t>Three months ended December 31,</w:t>
            </w:r>
          </w:p>
        </w:tc>
        <w:tc>
          <w:tcPr>
            <w:tcW w:w="120" w:type="dxa"/>
            <w:vAlign w:val="bottom"/>
          </w:tcPr>
          <w:p>
            <w:pPr>
              <w:spacing w:after="0"/>
              <w:rPr>
                <w:sz w:val="20"/>
                <w:szCs w:val="20"/>
                <w:color w:val="auto"/>
              </w:rPr>
            </w:pPr>
          </w:p>
        </w:tc>
        <w:tc>
          <w:tcPr>
            <w:tcW w:w="2780" w:type="dxa"/>
            <w:vAlign w:val="bottom"/>
            <w:gridSpan w:val="5"/>
          </w:tcPr>
          <w:p>
            <w:pPr>
              <w:ind w:left="60"/>
              <w:spacing w:after="0"/>
              <w:rPr>
                <w:sz w:val="20"/>
                <w:szCs w:val="20"/>
                <w:color w:val="auto"/>
              </w:rPr>
            </w:pPr>
            <w:r>
              <w:rPr>
                <w:rFonts w:ascii="Arial" w:cs="Arial" w:eastAsia="Arial" w:hAnsi="Arial"/>
                <w:sz w:val="18"/>
                <w:szCs w:val="18"/>
                <w:b w:val="1"/>
                <w:bCs w:val="1"/>
                <w:color w:val="auto"/>
                <w:w w:val="90"/>
              </w:rPr>
              <w:t>Three months ended December 31,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7"/>
        </w:trPr>
        <w:tc>
          <w:tcPr>
            <w:tcW w:w="5480" w:type="dxa"/>
            <w:vAlign w:val="bottom"/>
          </w:tcPr>
          <w:p>
            <w:pPr>
              <w:spacing w:after="0"/>
              <w:rPr>
                <w:sz w:val="24"/>
                <w:szCs w:val="24"/>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80" w:type="dxa"/>
            <w:vAlign w:val="bottom"/>
          </w:tcPr>
          <w:p>
            <w:pPr>
              <w:spacing w:after="0"/>
              <w:rPr>
                <w:sz w:val="24"/>
                <w:szCs w:val="24"/>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90"/>
              </w:rPr>
              <w:t>Earnings per</w:t>
            </w:r>
          </w:p>
        </w:tc>
        <w:tc>
          <w:tcPr>
            <w:tcW w:w="120" w:type="dxa"/>
            <w:vAlign w:val="bottom"/>
          </w:tcPr>
          <w:p>
            <w:pPr>
              <w:spacing w:after="0"/>
              <w:rPr>
                <w:sz w:val="24"/>
                <w:szCs w:val="24"/>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60" w:type="dxa"/>
            <w:vAlign w:val="bottom"/>
          </w:tcPr>
          <w:p>
            <w:pPr>
              <w:spacing w:after="0"/>
              <w:rPr>
                <w:sz w:val="24"/>
                <w:szCs w:val="24"/>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90"/>
              </w:rPr>
              <w:t>Earnings per</w:t>
            </w:r>
          </w:p>
        </w:tc>
        <w:tc>
          <w:tcPr>
            <w:tcW w:w="0" w:type="dxa"/>
            <w:vAlign w:val="bottom"/>
          </w:tcPr>
          <w:p>
            <w:pPr>
              <w:spacing w:after="0"/>
              <w:rPr>
                <w:sz w:val="1"/>
                <w:szCs w:val="1"/>
                <w:color w:val="auto"/>
              </w:rPr>
            </w:pPr>
          </w:p>
        </w:tc>
      </w:tr>
      <w:tr>
        <w:trPr>
          <w:trHeight w:val="122"/>
        </w:trPr>
        <w:tc>
          <w:tcPr>
            <w:tcW w:w="548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share impact</w:t>
            </w:r>
          </w:p>
        </w:tc>
        <w:tc>
          <w:tcPr>
            <w:tcW w:w="1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share impact</w:t>
            </w: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(2,220,097)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Less: Net loss at subsidiary attributable to noncontrolling interests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17,015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Adjustments to net income (loss)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1,125,217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874,652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Share-based compensation (a)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359,459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5480" w:type="dxa"/>
            <w:vAlign w:val="bottom"/>
          </w:tcPr>
          <w:p>
            <w:pPr>
              <w:ind w:left="260"/>
              <w:spacing w:after="0"/>
              <w:rPr>
                <w:sz w:val="20"/>
                <w:szCs w:val="20"/>
                <w:color w:val="auto"/>
              </w:rPr>
            </w:pPr>
            <w:r>
              <w:rPr>
                <w:rFonts w:ascii="Arial" w:cs="Arial" w:eastAsia="Arial" w:hAnsi="Arial"/>
                <w:sz w:val="18"/>
                <w:szCs w:val="18"/>
                <w:color w:val="auto"/>
              </w:rPr>
              <w:t>Impact of Vibativ cost of product sold (b)</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955,545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1,292,286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FDA costs of Reditrex submission (c)</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3"/>
        </w:trPr>
        <w:tc>
          <w:tcPr>
            <w:tcW w:w="54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(166,064)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Adjusted Earnings and Adjusted Diluted Earnings Per Share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1,461,434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1,557,947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67"/>
        </w:trPr>
        <w:tc>
          <w:tcPr>
            <w:tcW w:w="54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15,595,192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15,895,250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800" w:type="dxa"/>
            <w:vAlign w:val="bottom"/>
            <w:gridSpan w:val="5"/>
          </w:tcPr>
          <w:p>
            <w:pPr>
              <w:ind w:left="40"/>
              <w:spacing w:after="0"/>
              <w:rPr>
                <w:sz w:val="20"/>
                <w:szCs w:val="20"/>
                <w:color w:val="auto"/>
              </w:rPr>
            </w:pPr>
            <w:r>
              <w:rPr>
                <w:rFonts w:ascii="Arial" w:cs="Arial" w:eastAsia="Arial" w:hAnsi="Arial"/>
                <w:sz w:val="18"/>
                <w:szCs w:val="18"/>
                <w:b w:val="1"/>
                <w:bCs w:val="1"/>
                <w:color w:val="auto"/>
                <w:w w:val="88"/>
              </w:rPr>
              <w:t>Twelve months ended December 31,</w:t>
            </w:r>
          </w:p>
        </w:tc>
        <w:tc>
          <w:tcPr>
            <w:tcW w:w="120" w:type="dxa"/>
            <w:vAlign w:val="bottom"/>
          </w:tcPr>
          <w:p>
            <w:pPr>
              <w:spacing w:after="0"/>
              <w:rPr>
                <w:sz w:val="20"/>
                <w:szCs w:val="20"/>
                <w:color w:val="auto"/>
              </w:rPr>
            </w:pPr>
          </w:p>
        </w:tc>
        <w:tc>
          <w:tcPr>
            <w:tcW w:w="2800" w:type="dxa"/>
            <w:vAlign w:val="bottom"/>
            <w:gridSpan w:val="5"/>
          </w:tcPr>
          <w:p>
            <w:pPr>
              <w:ind w:left="40"/>
              <w:spacing w:after="0"/>
              <w:rPr>
                <w:sz w:val="20"/>
                <w:szCs w:val="20"/>
                <w:color w:val="auto"/>
              </w:rPr>
            </w:pPr>
            <w:r>
              <w:rPr>
                <w:rFonts w:ascii="Arial" w:cs="Arial" w:eastAsia="Arial" w:hAnsi="Arial"/>
                <w:sz w:val="18"/>
                <w:szCs w:val="18"/>
                <w:b w:val="1"/>
                <w:bCs w:val="1"/>
                <w:color w:val="auto"/>
                <w:w w:val="88"/>
              </w:rPr>
              <w:t>Twelve months ended December 31,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7"/>
        </w:trPr>
        <w:tc>
          <w:tcPr>
            <w:tcW w:w="5520" w:type="dxa"/>
            <w:vAlign w:val="bottom"/>
          </w:tcPr>
          <w:p>
            <w:pPr>
              <w:spacing w:after="0"/>
              <w:rPr>
                <w:sz w:val="24"/>
                <w:szCs w:val="24"/>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60" w:type="dxa"/>
            <w:vAlign w:val="bottom"/>
          </w:tcPr>
          <w:p>
            <w:pPr>
              <w:spacing w:after="0"/>
              <w:rPr>
                <w:sz w:val="24"/>
                <w:szCs w:val="24"/>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88"/>
              </w:rPr>
              <w:t>Earnings per</w:t>
            </w:r>
          </w:p>
        </w:tc>
        <w:tc>
          <w:tcPr>
            <w:tcW w:w="120" w:type="dxa"/>
            <w:vAlign w:val="bottom"/>
          </w:tcPr>
          <w:p>
            <w:pPr>
              <w:spacing w:after="0"/>
              <w:rPr>
                <w:sz w:val="24"/>
                <w:szCs w:val="24"/>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80" w:type="dxa"/>
            <w:vAlign w:val="bottom"/>
          </w:tcPr>
          <w:p>
            <w:pPr>
              <w:spacing w:after="0"/>
              <w:rPr>
                <w:sz w:val="24"/>
                <w:szCs w:val="24"/>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90"/>
              </w:rPr>
              <w:t>Earnings per</w:t>
            </w:r>
          </w:p>
        </w:tc>
        <w:tc>
          <w:tcPr>
            <w:tcW w:w="0" w:type="dxa"/>
            <w:vAlign w:val="bottom"/>
          </w:tcPr>
          <w:p>
            <w:pPr>
              <w:spacing w:after="0"/>
              <w:rPr>
                <w:sz w:val="1"/>
                <w:szCs w:val="1"/>
                <w:color w:val="auto"/>
              </w:rPr>
            </w:pPr>
          </w:p>
        </w:tc>
      </w:tr>
      <w:tr>
        <w:trPr>
          <w:trHeight w:val="122"/>
        </w:trPr>
        <w:tc>
          <w:tcPr>
            <w:tcW w:w="552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center"/>
              <w:ind w:right="70"/>
              <w:spacing w:after="0"/>
              <w:rPr>
                <w:sz w:val="20"/>
                <w:szCs w:val="20"/>
                <w:color w:val="auto"/>
              </w:rPr>
            </w:pPr>
            <w:r>
              <w:rPr>
                <w:rFonts w:ascii="Arial" w:cs="Arial" w:eastAsia="Arial" w:hAnsi="Arial"/>
                <w:sz w:val="18"/>
                <w:szCs w:val="18"/>
                <w:color w:val="auto"/>
                <w:w w:val="87"/>
              </w:rPr>
              <w:t>share impact</w:t>
            </w:r>
          </w:p>
        </w:tc>
        <w:tc>
          <w:tcPr>
            <w:tcW w:w="1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share impact</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(6,963,068)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Net loss at subsidiary attributable to noncontrolling interests</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(3,546,511)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(7,038,772)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Adjustments to net income (loss)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4,404,175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2,982,703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(a)</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1,485,898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Impact of Vibativ cost of product sold (b)</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2,702,350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1,292,286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FDA costs of Reditrex submission (c)</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246,186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Adjusted Earnings and Adjusted Diluted Earnings Per Share</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4,969,418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(456,846)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67"/>
        </w:trPr>
        <w:tc>
          <w:tcPr>
            <w:tcW w:w="5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15,763,570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15,614,052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25" w:right="339" w:bottom="1440" w:gutter="0" w:footer="0" w:header="0"/>
        </w:sectPr>
      </w:pPr>
    </w:p>
    <w:bookmarkStart w:id="13" w:name="page14"/>
    <w:bookmarkEnd w:id="13"/>
    <w:p>
      <w:pPr>
        <w:jc w:val="both"/>
        <w:spacing w:after="0" w:line="248" w:lineRule="auto"/>
        <w:rPr>
          <w:sz w:val="20"/>
          <w:szCs w:val="20"/>
          <w:color w:val="auto"/>
        </w:rPr>
      </w:pPr>
      <w:r>
        <w:rPr>
          <w:rFonts w:ascii="Arial" w:cs="Arial" w:eastAsia="Arial" w:hAnsi="Arial"/>
          <w:sz w:val="22"/>
          <w:szCs w:val="22"/>
          <w:color w:val="auto"/>
        </w:rPr>
        <w:t>The Company provided the above adjusted supplemental financial performance measures, which are considered "non-GAAP" financial measures under applicable Securities and Exchange Commission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strongly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79" w:lineRule="exact"/>
        <w:rPr>
          <w:sz w:val="20"/>
          <w:szCs w:val="20"/>
          <w:color w:val="auto"/>
        </w:rPr>
      </w:pPr>
    </w:p>
    <w:p>
      <w:pPr>
        <w:ind w:left="660" w:hanging="328"/>
        <w:spacing w:after="0" w:line="269"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Adjusted Earnings: </w:t>
      </w:r>
      <w:r>
        <w:rPr>
          <w:rFonts w:ascii="Arial" w:cs="Arial" w:eastAsia="Arial" w:hAnsi="Arial"/>
          <w:sz w:val="22"/>
          <w:szCs w:val="22"/>
          <w:color w:val="auto"/>
        </w:rPr>
        <w:t>net income (loss) adjusted for the impact of income taxes, depreciation and amortization expense,</w:t>
      </w:r>
      <w:r>
        <w:rPr>
          <w:rFonts w:ascii="Arial" w:cs="Arial" w:eastAsia="Arial" w:hAnsi="Arial"/>
          <w:sz w:val="22"/>
          <w:szCs w:val="22"/>
          <w:b w:val="1"/>
          <w:bCs w:val="1"/>
          <w:color w:val="auto"/>
        </w:rPr>
        <w:t xml:space="preserve"> </w:t>
      </w:r>
      <w:r>
        <w:rPr>
          <w:rFonts w:ascii="Arial" w:cs="Arial" w:eastAsia="Arial" w:hAnsi="Arial"/>
          <w:sz w:val="22"/>
          <w:szCs w:val="22"/>
          <w:color w:val="auto"/>
        </w:rPr>
        <w:t>share-based compensation expense and other income and interest expense.</w:t>
      </w:r>
    </w:p>
    <w:p>
      <w:pPr>
        <w:spacing w:after="0" w:line="208" w:lineRule="exact"/>
        <w:rPr>
          <w:rFonts w:ascii="Arial" w:cs="Arial" w:eastAsia="Arial" w:hAnsi="Arial"/>
          <w:sz w:val="22"/>
          <w:szCs w:val="22"/>
          <w:color w:val="auto"/>
        </w:rPr>
      </w:pPr>
    </w:p>
    <w:p>
      <w:pPr>
        <w:ind w:left="1600" w:hanging="296"/>
        <w:spacing w:after="0"/>
        <w:tabs>
          <w:tab w:leader="none" w:pos="1600" w:val="left"/>
        </w:tabs>
        <w:numPr>
          <w:ilvl w:val="1"/>
          <w:numId w:val="5"/>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260" w:lineRule="exact"/>
        <w:rPr>
          <w:rFonts w:ascii="Arial" w:cs="Arial" w:eastAsia="Arial" w:hAnsi="Arial"/>
          <w:sz w:val="22"/>
          <w:szCs w:val="22"/>
          <w:color w:val="auto"/>
        </w:rPr>
      </w:pPr>
    </w:p>
    <w:p>
      <w:pPr>
        <w:jc w:val="both"/>
        <w:ind w:left="660" w:firstLine="644"/>
        <w:spacing w:after="0" w:line="312" w:lineRule="auto"/>
        <w:tabs>
          <w:tab w:leader="none" w:pos="1616" w:val="left"/>
        </w:tabs>
        <w:numPr>
          <w:ilvl w:val="1"/>
          <w:numId w:val="5"/>
        </w:numPr>
        <w:rPr>
          <w:rFonts w:ascii="Arial" w:cs="Arial" w:eastAsia="Arial" w:hAnsi="Arial"/>
          <w:sz w:val="19"/>
          <w:szCs w:val="19"/>
          <w:color w:val="auto"/>
        </w:rPr>
      </w:pPr>
      <w:r>
        <w:rPr>
          <w:rFonts w:ascii="Arial" w:cs="Arial" w:eastAsia="Arial" w:hAnsi="Arial"/>
          <w:sz w:val="19"/>
          <w:szCs w:val="19"/>
          <w:color w:val="auto"/>
        </w:rPr>
        <w:t>Represents the non-cash impact of the Vibativ cost of products sold. Cumberland has elected to add these costs back in the calculation of adjusted earnings as all the Vibativ inventory the Company is selling was transferred to Cumberland as part of the transaction with Theravance at no additional cost in the product acquisition.</w:t>
      </w:r>
    </w:p>
    <w:p>
      <w:pPr>
        <w:spacing w:after="0" w:line="173" w:lineRule="exact"/>
        <w:rPr>
          <w:rFonts w:ascii="Arial" w:cs="Arial" w:eastAsia="Arial" w:hAnsi="Arial"/>
          <w:sz w:val="19"/>
          <w:szCs w:val="19"/>
          <w:color w:val="auto"/>
        </w:rPr>
      </w:pPr>
    </w:p>
    <w:p>
      <w:pPr>
        <w:ind w:left="1300" w:firstLine="4"/>
        <w:spacing w:after="0" w:line="263" w:lineRule="auto"/>
        <w:tabs>
          <w:tab w:leader="none" w:pos="1621" w:val="left"/>
        </w:tabs>
        <w:numPr>
          <w:ilvl w:val="1"/>
          <w:numId w:val="5"/>
        </w:numPr>
        <w:rPr>
          <w:rFonts w:ascii="Arial" w:cs="Arial" w:eastAsia="Arial" w:hAnsi="Arial"/>
          <w:sz w:val="22"/>
          <w:szCs w:val="22"/>
          <w:color w:val="auto"/>
        </w:rPr>
      </w:pPr>
      <w:r>
        <w:rPr>
          <w:rFonts w:ascii="Arial" w:cs="Arial" w:eastAsia="Arial" w:hAnsi="Arial"/>
          <w:sz w:val="22"/>
          <w:szCs w:val="22"/>
          <w:color w:val="auto"/>
        </w:rPr>
        <w:t>Reflects the initial RediTrex submission fee paid to the FDA to evaluate our request for product approval during 2018. The FDA approved the product during 2019.</w:t>
      </w:r>
    </w:p>
    <w:p>
      <w:pPr>
        <w:spacing w:after="0" w:line="209" w:lineRule="exact"/>
        <w:rPr>
          <w:rFonts w:ascii="Arial" w:cs="Arial" w:eastAsia="Arial" w:hAnsi="Arial"/>
          <w:sz w:val="22"/>
          <w:szCs w:val="22"/>
          <w:color w:val="auto"/>
        </w:rPr>
      </w:pPr>
    </w:p>
    <w:p>
      <w:pPr>
        <w:ind w:left="660" w:hanging="328"/>
        <w:spacing w:after="0" w:line="269" w:lineRule="auto"/>
        <w:tabs>
          <w:tab w:leader="none" w:pos="6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Per Share: </w:t>
      </w:r>
      <w:r>
        <w:rPr>
          <w:rFonts w:ascii="Arial" w:cs="Arial" w:eastAsia="Arial" w:hAnsi="Arial"/>
          <w:sz w:val="22"/>
          <w:szCs w:val="22"/>
          <w:color w:val="auto"/>
        </w:rPr>
        <w:t>Adjusted Earnings divided by diluted weighted-average common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w:t>
      </w:r>
    </w:p>
    <w:sectPr>
      <w:pgSz w:w="11900" w:h="16838" w:orient="portrait"/>
      <w:cols w:equalWidth="0" w:num="1">
        <w:col w:w="11240"/>
      </w:cols>
      <w:pgMar w:left="320" w:top="6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2020-03-18T16:18:04Z</dcterms:created>
  <dcterms:modified xsi:type="dcterms:W3CDTF">2020-03-18T16:18:04Z</dcterms:modified>
</cp:coreProperties>
</file>