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May 10, 2022 (May 10, 2022)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CUMBERLAND PHARMACEUTICALS INC.</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88" w:lineRule="exact"/>
        <w:rPr>
          <w:sz w:val="24"/>
          <w:szCs w:val="24"/>
          <w:color w:val="auto"/>
        </w:rPr>
      </w:pPr>
    </w:p>
    <w:tbl>
      <w:tblPr>
        <w:tblLayout w:type="fixed"/>
        <w:tblInd w:w="500" w:type="dxa"/>
        <w:tblCellMar>
          <w:top w:w="0" w:type="dxa"/>
          <w:left w:w="0" w:type="dxa"/>
          <w:bottom w:w="0" w:type="dxa"/>
          <w:right w:w="0" w:type="dxa"/>
        </w:tblCellMar>
      </w:tblPr>
      <w:tr>
        <w:trPr>
          <w:trHeight w:val="261"/>
        </w:trPr>
        <w:tc>
          <w:tcPr>
            <w:tcW w:w="3700" w:type="dxa"/>
            <w:vAlign w:val="bottom"/>
          </w:tcPr>
          <w:p>
            <w:pPr>
              <w:jc w:val="center"/>
              <w:ind w:right="330"/>
              <w:spacing w:after="0"/>
              <w:rPr>
                <w:sz w:val="20"/>
                <w:szCs w:val="20"/>
                <w:color w:val="auto"/>
              </w:rPr>
            </w:pPr>
            <w:r>
              <w:rPr>
                <w:rFonts w:ascii="Arial" w:cs="Arial" w:eastAsia="Arial" w:hAnsi="Arial"/>
                <w:sz w:val="18"/>
                <w:szCs w:val="18"/>
                <w:b w:val="1"/>
                <w:bCs w:val="1"/>
                <w:color w:val="auto"/>
                <w:w w:val="81"/>
              </w:rPr>
              <w:t>Tennessee</w:t>
            </w:r>
          </w:p>
        </w:tc>
        <w:tc>
          <w:tcPr>
            <w:tcW w:w="3000" w:type="dxa"/>
            <w:vAlign w:val="bottom"/>
          </w:tcPr>
          <w:p>
            <w:pPr>
              <w:jc w:val="right"/>
              <w:ind w:right="1110"/>
              <w:spacing w:after="0"/>
              <w:rPr>
                <w:sz w:val="20"/>
                <w:szCs w:val="20"/>
                <w:color w:val="auto"/>
              </w:rPr>
            </w:pPr>
            <w:r>
              <w:rPr>
                <w:rFonts w:ascii="Arial" w:cs="Arial" w:eastAsia="Arial" w:hAnsi="Arial"/>
                <w:sz w:val="18"/>
                <w:szCs w:val="18"/>
                <w:b w:val="1"/>
                <w:bCs w:val="1"/>
                <w:color w:val="auto"/>
              </w:rPr>
              <w:t>001-33637</w:t>
            </w:r>
          </w:p>
        </w:tc>
        <w:tc>
          <w:tcPr>
            <w:tcW w:w="3200" w:type="dxa"/>
            <w:vAlign w:val="bottom"/>
          </w:tcPr>
          <w:p>
            <w:pPr>
              <w:jc w:val="right"/>
              <w:ind w:right="790"/>
              <w:spacing w:after="0"/>
              <w:rPr>
                <w:sz w:val="20"/>
                <w:szCs w:val="20"/>
                <w:color w:val="auto"/>
              </w:rPr>
            </w:pPr>
            <w:r>
              <w:rPr>
                <w:rFonts w:ascii="Arial" w:cs="Arial" w:eastAsia="Arial" w:hAnsi="Arial"/>
                <w:sz w:val="18"/>
                <w:szCs w:val="18"/>
                <w:b w:val="1"/>
                <w:bCs w:val="1"/>
                <w:color w:val="auto"/>
              </w:rPr>
              <w:t>62-1765329</w:t>
            </w:r>
          </w:p>
        </w:tc>
        <w:tc>
          <w:tcPr>
            <w:tcW w:w="0" w:type="dxa"/>
            <w:vAlign w:val="bottom"/>
          </w:tcPr>
          <w:p>
            <w:pPr>
              <w:spacing w:after="0"/>
              <w:rPr>
                <w:sz w:val="1"/>
                <w:szCs w:val="1"/>
                <w:color w:val="auto"/>
              </w:rPr>
            </w:pPr>
          </w:p>
        </w:tc>
      </w:tr>
      <w:tr>
        <w:trPr>
          <w:trHeight w:val="189"/>
        </w:trPr>
        <w:tc>
          <w:tcPr>
            <w:tcW w:w="370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3000" w:type="dxa"/>
            <w:vAlign w:val="bottom"/>
            <w:vMerge w:val="restart"/>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tcPr>
          <w:p>
            <w:pPr>
              <w:jc w:val="center"/>
              <w:ind w:left="490"/>
              <w:spacing w:after="0" w:line="189"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700" w:type="dxa"/>
            <w:vAlign w:val="bottom"/>
          </w:tcPr>
          <w:p>
            <w:pPr>
              <w:jc w:val="center"/>
              <w:ind w:right="330"/>
              <w:spacing w:after="0"/>
              <w:rPr>
                <w:sz w:val="20"/>
                <w:szCs w:val="20"/>
                <w:color w:val="auto"/>
              </w:rPr>
            </w:pPr>
            <w:r>
              <w:rPr>
                <w:rFonts w:ascii="Arial" w:cs="Arial" w:eastAsia="Arial" w:hAnsi="Arial"/>
                <w:sz w:val="18"/>
                <w:szCs w:val="18"/>
                <w:color w:val="auto"/>
                <w:w w:val="92"/>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50"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right="2940" w:firstLine="48"/>
        <w:spacing w:after="0" w:line="477"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5"/>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8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4" w:lineRule="exact"/>
        <w:rPr>
          <w:sz w:val="20"/>
          <w:szCs w:val="20"/>
          <w:color w:val="auto"/>
        </w:rPr>
      </w:pPr>
    </w:p>
    <w:p>
      <w:pPr>
        <w:jc w:val="both"/>
        <w:spacing w:after="0" w:line="250" w:lineRule="auto"/>
        <w:rPr>
          <w:rFonts w:ascii="Arial" w:cs="Arial" w:eastAsia="Arial" w:hAnsi="Arial"/>
          <w:sz w:val="20"/>
          <w:szCs w:val="20"/>
          <w:color w:val="auto"/>
        </w:rPr>
      </w:pPr>
      <w:r>
        <w:rPr>
          <w:rFonts w:ascii="Arial" w:cs="Arial" w:eastAsia="Arial" w:hAnsi="Arial"/>
          <w:sz w:val="20"/>
          <w:szCs w:val="20"/>
          <w:color w:val="auto"/>
        </w:rPr>
        <w:t xml:space="preserve">On May 10, 2022, Cumberland Pharmaceuticals Inc. (the "Company") issued a press release which provided a company update and the financial results for the three months ended March 31, 2022. A copy of the press release is attached as </w:t>
      </w:r>
      <w:hyperlink w:anchor="page4">
        <w:r>
          <w:rPr>
            <w:rFonts w:ascii="Arial" w:cs="Arial" w:eastAsia="Arial" w:hAnsi="Arial"/>
            <w:sz w:val="20"/>
            <w:szCs w:val="20"/>
            <w:u w:val="single" w:color="auto"/>
            <w:color w:val="0000FF"/>
          </w:rPr>
          <w:t>Exhibit 99.1</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to this Current Report on Form 8-K and is incorporated by reference into this Item 2.02.</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spacing w:after="0" w:line="1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40" w:type="dxa"/>
            <w:vAlign w:val="bottom"/>
          </w:tcPr>
          <w:p>
            <w:pPr>
              <w:spacing w:after="0"/>
              <w:rPr>
                <w:sz w:val="15"/>
                <w:szCs w:val="15"/>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Exhibit No.</w:t>
            </w:r>
          </w:p>
        </w:tc>
        <w:tc>
          <w:tcPr>
            <w:tcW w:w="1140" w:type="dxa"/>
            <w:vAlign w:val="bottom"/>
          </w:tcPr>
          <w:p>
            <w:pPr>
              <w:spacing w:after="0"/>
              <w:rPr>
                <w:sz w:val="15"/>
                <w:szCs w:val="15"/>
                <w:color w:val="auto"/>
              </w:rPr>
            </w:pPr>
          </w:p>
        </w:tc>
        <w:tc>
          <w:tcPr>
            <w:tcW w:w="57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Description</w:t>
            </w:r>
          </w:p>
        </w:tc>
        <w:tc>
          <w:tcPr>
            <w:tcW w:w="1320" w:type="dxa"/>
            <w:vAlign w:val="bottom"/>
          </w:tcPr>
          <w:p>
            <w:pPr>
              <w:spacing w:after="0"/>
              <w:rPr>
                <w:sz w:val="15"/>
                <w:szCs w:val="15"/>
                <w:color w:val="auto"/>
              </w:rPr>
            </w:pPr>
          </w:p>
        </w:tc>
      </w:tr>
      <w:tr>
        <w:trPr>
          <w:trHeight w:val="351"/>
        </w:trPr>
        <w:tc>
          <w:tcPr>
            <w:tcW w:w="3020" w:type="dxa"/>
            <w:vAlign w:val="bottom"/>
            <w:gridSpan w:val="3"/>
          </w:tcPr>
          <w:p>
            <w:pPr>
              <w:ind w:left="1340"/>
              <w:spacing w:after="0"/>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1140" w:type="dxa"/>
            <w:vAlign w:val="bottom"/>
          </w:tcPr>
          <w:p>
            <w:pPr>
              <w:spacing w:after="0"/>
              <w:rPr>
                <w:sz w:val="24"/>
                <w:szCs w:val="24"/>
                <w:color w:val="auto"/>
              </w:rPr>
            </w:pPr>
          </w:p>
        </w:tc>
        <w:tc>
          <w:tcPr>
            <w:tcW w:w="7080" w:type="dxa"/>
            <w:vAlign w:val="bottom"/>
            <w:gridSpan w:val="4"/>
          </w:tcPr>
          <w:p>
            <w:pPr>
              <w:ind w:left="20"/>
              <w:spacing w:after="0"/>
              <w:rPr>
                <w:sz w:val="20"/>
                <w:szCs w:val="20"/>
                <w:color w:val="auto"/>
              </w:rPr>
            </w:pPr>
            <w:r>
              <w:rPr>
                <w:rFonts w:ascii="Arial" w:cs="Arial" w:eastAsia="Arial" w:hAnsi="Arial"/>
                <w:sz w:val="18"/>
                <w:szCs w:val="18"/>
                <w:color w:val="0000FF"/>
              </w:rPr>
              <w:t>Press release dated May 10, 2022</w:t>
            </w:r>
          </w:p>
        </w:tc>
      </w:tr>
      <w:tr>
        <w:trPr>
          <w:trHeight w:val="1000"/>
        </w:trPr>
        <w:tc>
          <w:tcPr>
            <w:tcW w:w="134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0" w:type="dxa"/>
            <w:vAlign w:val="bottom"/>
            <w:tcBorders>
              <w:top w:val="single" w:sz="8" w:color="0000FF"/>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6920" w:type="dxa"/>
            <w:vAlign w:val="bottom"/>
            <w:gridSpan w:val="2"/>
          </w:tcPr>
          <w:p>
            <w:pPr>
              <w:ind w:left="274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4240" w:type="dxa"/>
            <w:vAlign w:val="bottom"/>
          </w:tcPr>
          <w:p>
            <w:pPr>
              <w:spacing w:after="0"/>
              <w:rPr>
                <w:sz w:val="20"/>
                <w:szCs w:val="20"/>
                <w:color w:val="auto"/>
              </w:rPr>
            </w:pPr>
            <w:r>
              <w:rPr>
                <w:rFonts w:ascii="Arial" w:cs="Arial" w:eastAsia="Arial" w:hAnsi="Arial"/>
                <w:sz w:val="18"/>
                <w:szCs w:val="18"/>
                <w:color w:val="auto"/>
              </w:rPr>
              <w:t>Dated: May 10, 2022</w:t>
            </w:r>
          </w:p>
        </w:tc>
        <w:tc>
          <w:tcPr>
            <w:tcW w:w="4100" w:type="dxa"/>
            <w:vAlign w:val="bottom"/>
          </w:tcPr>
          <w:p>
            <w:pPr>
              <w:ind w:left="274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John Hamm</w:t>
            </w:r>
          </w:p>
        </w:tc>
      </w:tr>
      <w:tr>
        <w:trPr>
          <w:trHeight w:val="222"/>
        </w:trPr>
        <w:tc>
          <w:tcPr>
            <w:tcW w:w="42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John Hamm</w:t>
            </w:r>
          </w:p>
        </w:tc>
      </w:tr>
      <w:tr>
        <w:trPr>
          <w:trHeight w:val="230"/>
        </w:trPr>
        <w:tc>
          <w:tcPr>
            <w:tcW w:w="42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1093"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2025650</wp:posOffset>
            </wp:positionH>
            <wp:positionV relativeFrom="page">
              <wp:posOffset>732155</wp:posOffset>
            </wp:positionV>
            <wp:extent cx="349758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49758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Cumberland Pharmaceuticals Reports 6% Revenue Growth</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Nashville-based specialty pharmaceutical company issues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first quarter 2022 financial results and a company update</w:t>
      </w:r>
    </w:p>
    <w:p>
      <w:pPr>
        <w:spacing w:after="0" w:line="358"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NASHVILLE, TENNESSEE (Tuesday, May 10, 2022) - Cumberland Pharmaceuticals Inc. (NASDAQ: CPIX)</w:t>
      </w:r>
      <w:r>
        <w:rPr>
          <w:rFonts w:ascii="Arial" w:cs="Arial" w:eastAsia="Arial" w:hAnsi="Arial"/>
          <w:sz w:val="19"/>
          <w:szCs w:val="19"/>
          <w:color w:val="auto"/>
        </w:rPr>
        <w:t>, a specialty</w:t>
      </w:r>
      <w:r>
        <w:rPr>
          <w:rFonts w:ascii="Arial" w:cs="Arial" w:eastAsia="Arial" w:hAnsi="Arial"/>
          <w:sz w:val="19"/>
          <w:szCs w:val="19"/>
          <w:b w:val="1"/>
          <w:bCs w:val="1"/>
          <w:color w:val="auto"/>
        </w:rPr>
        <w:t xml:space="preserve"> </w:t>
      </w:r>
      <w:r>
        <w:rPr>
          <w:rFonts w:ascii="Arial" w:cs="Arial" w:eastAsia="Arial" w:hAnsi="Arial"/>
          <w:sz w:val="19"/>
          <w:szCs w:val="19"/>
          <w:color w:val="auto"/>
        </w:rPr>
        <w:t>pharmaceutical company today announced that the Company's product portfolio of FDA-approved brands delivered combined revenues of $11.2 million during the first quarter of 2022, - which is a 6% increase over the prior year period. Adjusted earnings for the quarter were $0.5 million, or $0.03 a share. The company ended the first quarter with $96.7 million in total assets, $55.9 million in total liabilities, and $41.0 million of shareholders’ equity. Cumberland will report its first quarter 2022 financial results and provide a company update via a conference call and live internet webcast today at 4:30 p.m. Eastern Time.</w:t>
      </w:r>
    </w:p>
    <w:p>
      <w:pPr>
        <w:spacing w:after="0" w:line="17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At the start of the first quarter, Cumberland announced its acquisition of the oncology-supportive drug Sancuso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from the U.S. subsidiary of Kyowa Kirin, Inc., a Japan-based specialty pharmaceutical company. Sancuso is the first and only FDA-approved prescription patch that prevents nausea and vomiting in cancer patients receiving certain types of chemotherapy treatment. Through the acquisition, Cumberland obtained full commercial responsibility for Sancuso in the U.S., including its marketing, promotion, distribution and manufacturing. Cumberland formed a new sales division, Cumberland Oncology, to support the brand.</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On Monday May 9, 2022, Cumberland announced that it has entered into a co-promotion agreement with Verity Pharmaceuticals to bring Sancuso to more patients across the U.S. Verity will feature Sancuso through its national oncology sales organization, covering a majority of the U.S. market for an initial three-year term.</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Cumberland also announced several new partnerships for its Vibativ</w:t>
      </w:r>
      <w:r>
        <w:rPr>
          <w:rFonts w:ascii="Arial" w:cs="Arial" w:eastAsia="Arial" w:hAnsi="Arial"/>
          <w:sz w:val="11"/>
          <w:szCs w:val="11"/>
          <w:b w:val="1"/>
          <w:bCs w:val="1"/>
          <w:color w:val="auto"/>
        </w:rPr>
        <w:t>®</w:t>
      </w:r>
      <w:r>
        <w:rPr>
          <w:rFonts w:ascii="Arial" w:cs="Arial" w:eastAsia="Arial" w:hAnsi="Arial"/>
          <w:sz w:val="22"/>
          <w:szCs w:val="22"/>
          <w:color w:val="auto"/>
        </w:rPr>
        <w:t xml:space="preserve"> product during the first quarter. Vibativ is an antibiotic used to treat patients with pneumonia and serious skin infections resulting from gram-positive bacteria:</w:t>
      </w:r>
    </w:p>
    <w:p>
      <w:pPr>
        <w:spacing w:after="0" w:line="94" w:lineRule="exact"/>
        <w:rPr>
          <w:sz w:val="20"/>
          <w:szCs w:val="20"/>
          <w:color w:val="auto"/>
        </w:rPr>
      </w:pPr>
    </w:p>
    <w:p>
      <w:pPr>
        <w:jc w:val="both"/>
        <w:ind w:left="660" w:hanging="328"/>
        <w:spacing w:after="0" w:line="297" w:lineRule="auto"/>
        <w:tabs>
          <w:tab w:leader="none" w:pos="655" w:val="left"/>
        </w:tabs>
        <w:numPr>
          <w:ilvl w:val="0"/>
          <w:numId w:val="2"/>
        </w:numPr>
        <w:rPr>
          <w:rFonts w:ascii="Arial" w:cs="Arial" w:eastAsia="Arial" w:hAnsi="Arial"/>
          <w:sz w:val="19"/>
          <w:szCs w:val="19"/>
          <w:color w:val="auto"/>
        </w:rPr>
      </w:pPr>
      <w:r>
        <w:rPr>
          <w:rFonts w:ascii="Arial" w:cs="Arial" w:eastAsia="Arial" w:hAnsi="Arial"/>
          <w:sz w:val="19"/>
          <w:szCs w:val="19"/>
          <w:color w:val="auto"/>
        </w:rPr>
        <w:t>In March of 2022, the company announced a new partnership with Saudi Arabia-based Tabuk Pharmaceutical Manufacturing Company to introduce Vibativ in the Middle East. The arrangement provided Tabuk exclusive rights to distribute Vibativ in Saudi Arabia and Jordan, with the option to expand into other countries in the region. Tabuk is a fully owned subsidiary of publicly traded Astra Industrial Group, a leading industrial conglomerate in Saudi Arabia. Tabuk is a well-respected pharmaceutical company with a strong distribution network throughout the Middle East.</w:t>
      </w:r>
    </w:p>
    <w:p>
      <w:pPr>
        <w:spacing w:after="0" w:line="79" w:lineRule="exact"/>
        <w:rPr>
          <w:rFonts w:ascii="Arial" w:cs="Arial" w:eastAsia="Arial" w:hAnsi="Arial"/>
          <w:sz w:val="19"/>
          <w:szCs w:val="19"/>
          <w:color w:val="auto"/>
        </w:rPr>
      </w:pPr>
    </w:p>
    <w:p>
      <w:pPr>
        <w:ind w:left="660" w:hanging="328"/>
        <w:spacing w:after="0" w:line="26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Cumberland also announced the launch of Vibativ in Puerto Rico, again through a partnership with Verity Pharmaceuticals, which has a particular strength and experience in the Puerto Rican market.</w:t>
      </w:r>
    </w:p>
    <w:p>
      <w:pPr>
        <w:sectPr>
          <w:pgSz w:w="11900" w:h="16838" w:orient="portrait"/>
          <w:cols w:equalWidth="0" w:num="1">
            <w:col w:w="11240"/>
          </w:cols>
          <w:pgMar w:left="320" w:top="1440" w:right="339" w:bottom="1440" w:gutter="0" w:footer="0" w:header="0"/>
        </w:sectPr>
      </w:pPr>
    </w:p>
    <w:bookmarkStart w:id="4" w:name="page5"/>
    <w:bookmarkEnd w:id="4"/>
    <w:p>
      <w:pPr>
        <w:spacing w:after="0" w:line="263" w:lineRule="auto"/>
        <w:rPr>
          <w:sz w:val="20"/>
          <w:szCs w:val="20"/>
          <w:color w:val="auto"/>
        </w:rPr>
      </w:pPr>
      <w:r>
        <w:rPr>
          <w:rFonts w:ascii="Arial" w:cs="Arial" w:eastAsia="Arial" w:hAnsi="Arial"/>
          <w:sz w:val="22"/>
          <w:szCs w:val="22"/>
          <w:color w:val="auto"/>
        </w:rPr>
        <w:t>The company continues to enroll patients in the three Phase II clinical programs that it is sponsoring. These studies are evaluating its ifetroban product candidate for:</w:t>
      </w:r>
    </w:p>
    <w:p>
      <w:pPr>
        <w:spacing w:after="0" w:line="9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i w:val="1"/>
          <w:iCs w:val="1"/>
          <w:color w:val="auto"/>
        </w:rPr>
        <w:t xml:space="preserve">Duchenne Muscular Dystrophy, </w:t>
      </w:r>
      <w:r>
        <w:rPr>
          <w:rFonts w:ascii="Arial" w:cs="Arial" w:eastAsia="Arial" w:hAnsi="Arial"/>
          <w:sz w:val="22"/>
          <w:szCs w:val="22"/>
          <w:color w:val="auto"/>
        </w:rPr>
        <w:t>a fatal, genetic neuromuscular disease;</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i w:val="1"/>
          <w:iCs w:val="1"/>
          <w:color w:val="auto"/>
        </w:rPr>
        <w:t>Systemic Sclerosis</w:t>
      </w:r>
      <w:r>
        <w:rPr>
          <w:rFonts w:ascii="Arial" w:cs="Arial" w:eastAsia="Arial" w:hAnsi="Arial"/>
          <w:sz w:val="22"/>
          <w:szCs w:val="22"/>
          <w:color w:val="auto"/>
        </w:rPr>
        <w:t>, a debilitating autoimmune disorder; and</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i w:val="1"/>
          <w:iCs w:val="1"/>
          <w:color w:val="auto"/>
        </w:rPr>
        <w:t>Aspirin-Exacerbated Respiratory Disease</w:t>
      </w:r>
      <w:r>
        <w:rPr>
          <w:rFonts w:ascii="Arial" w:cs="Arial" w:eastAsia="Arial" w:hAnsi="Arial"/>
          <w:sz w:val="22"/>
          <w:szCs w:val="22"/>
          <w:color w:val="auto"/>
        </w:rPr>
        <w:t>, a severe form of asthma.</w:t>
      </w:r>
    </w:p>
    <w:p>
      <w:pPr>
        <w:spacing w:after="0" w:line="139"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 xml:space="preserve">Cumberland is also designing a Phase II study to evaluate the use of ifetroban to treat patients with </w:t>
      </w:r>
      <w:r>
        <w:rPr>
          <w:rFonts w:ascii="Arial" w:cs="Arial" w:eastAsia="Arial" w:hAnsi="Arial"/>
          <w:sz w:val="19"/>
          <w:szCs w:val="19"/>
          <w:i w:val="1"/>
          <w:iCs w:val="1"/>
          <w:color w:val="auto"/>
        </w:rPr>
        <w:t>Progressive Fibrosing</w:t>
      </w:r>
      <w:r>
        <w:rPr>
          <w:rFonts w:ascii="Arial" w:cs="Arial" w:eastAsia="Arial" w:hAnsi="Arial"/>
          <w:sz w:val="19"/>
          <w:szCs w:val="19"/>
          <w:color w:val="auto"/>
        </w:rPr>
        <w:t xml:space="preserve"> </w:t>
      </w:r>
      <w:r>
        <w:rPr>
          <w:rFonts w:ascii="Arial" w:cs="Arial" w:eastAsia="Arial" w:hAnsi="Arial"/>
          <w:sz w:val="19"/>
          <w:szCs w:val="19"/>
          <w:i w:val="1"/>
          <w:iCs w:val="1"/>
          <w:color w:val="auto"/>
        </w:rPr>
        <w:t>Interstitial Lung Diseases</w:t>
      </w:r>
      <w:r>
        <w:rPr>
          <w:rFonts w:ascii="Arial" w:cs="Arial" w:eastAsia="Arial" w:hAnsi="Arial"/>
          <w:sz w:val="19"/>
          <w:szCs w:val="19"/>
          <w:color w:val="auto"/>
        </w:rPr>
        <w:t>. The company is currently preparing an application to the FDA to support the new program.</w:t>
      </w:r>
    </w:p>
    <w:p>
      <w:pPr>
        <w:spacing w:after="0" w:line="3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continue to seek opportunities to expand the use of our existing brands, while also building our portfolio of differentiated products,” said A.J. Kazimi, CEO of Cumberland Pharmaceuticals. “We made significant progress toward that goal during the first quarter and are particularly encouraged by the addition of Sancuso. We believe in the product’s potential to help more cancer patients and expect it to be a meaningful contributor to our business.”</w:t>
      </w:r>
    </w:p>
    <w:p>
      <w:pPr>
        <w:spacing w:after="0" w:line="12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To participate in today’s call, dial (877) 303-1298 (for U.S. callers) or (253) 237-1032 (for international callers). A rebroadcast of the teleconference will be available for one week and can be accessed by dialing (855) 859-2056 (for U.S. callers) or (404) 537-3406 (for international callers). The Conference ID for the rebroadcast is 7574078. Both the live webcast and rebroadcast can be accessed via Cumberland’s website at https://investor.cumberlandpharma.com/events-calendar.</w:t>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 RESULTS</w:t>
      </w:r>
      <w:r>
        <w:rPr>
          <w:rFonts w:ascii="Arial" w:cs="Arial" w:eastAsia="Arial" w:hAnsi="Arial"/>
          <w:sz w:val="22"/>
          <w:szCs w:val="22"/>
          <w:b w:val="1"/>
          <w:bCs w:val="1"/>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Net Revenue: </w:t>
      </w:r>
      <w:r>
        <w:rPr>
          <w:rFonts w:ascii="Arial" w:cs="Arial" w:eastAsia="Arial" w:hAnsi="Arial"/>
          <w:sz w:val="21"/>
          <w:szCs w:val="21"/>
          <w:color w:val="auto"/>
        </w:rPr>
        <w:t>For the three months ended March 31, 2022, net revenues from continuing operations were $11.2 million.</w:t>
      </w:r>
    </w:p>
    <w:p>
      <w:pPr>
        <w:spacing w:after="0" w:line="156"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Net revenue by product for the first quarter of 2022, included $3.9 million for Kristalose</w:t>
      </w:r>
      <w:r>
        <w:rPr>
          <w:rFonts w:ascii="Arial" w:cs="Arial" w:eastAsia="Arial" w:hAnsi="Arial"/>
          <w:sz w:val="28"/>
          <w:szCs w:val="28"/>
          <w:color w:val="auto"/>
          <w:vertAlign w:val="superscript"/>
        </w:rPr>
        <w:t>®</w:t>
      </w:r>
      <w:r>
        <w:rPr>
          <w:rFonts w:ascii="Arial" w:cs="Arial" w:eastAsia="Arial" w:hAnsi="Arial"/>
          <w:sz w:val="22"/>
          <w:szCs w:val="22"/>
          <w:color w:val="auto"/>
        </w:rPr>
        <w:t>, $3.4 million for Sancuso</w:t>
      </w:r>
      <w:r>
        <w:rPr>
          <w:rFonts w:ascii="Arial" w:cs="Arial" w:eastAsia="Arial" w:hAnsi="Arial"/>
          <w:sz w:val="28"/>
          <w:szCs w:val="28"/>
          <w:color w:val="auto"/>
          <w:vertAlign w:val="superscript"/>
        </w:rPr>
        <w:t>®</w:t>
      </w:r>
      <w:r>
        <w:rPr>
          <w:rFonts w:ascii="Arial" w:cs="Arial" w:eastAsia="Arial" w:hAnsi="Arial"/>
          <w:sz w:val="22"/>
          <w:szCs w:val="22"/>
          <w:color w:val="auto"/>
        </w:rPr>
        <w:t>, $2.5 million for Vibativ</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and $1.0 million for Caldolor</w:t>
      </w:r>
      <w:r>
        <w:rPr>
          <w:rFonts w:ascii="Arial" w:cs="Arial" w:eastAsia="Arial" w:hAnsi="Arial"/>
          <w:sz w:val="28"/>
          <w:szCs w:val="28"/>
          <w:color w:val="auto"/>
          <w:vertAlign w:val="superscript"/>
        </w:rPr>
        <w:t>®</w:t>
      </w:r>
      <w:r>
        <w:rPr>
          <w:rFonts w:ascii="Arial" w:cs="Arial" w:eastAsia="Arial" w:hAnsi="Arial"/>
          <w:sz w:val="22"/>
          <w:szCs w:val="22"/>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Operating Expenses: </w:t>
      </w:r>
      <w:r>
        <w:rPr>
          <w:rFonts w:ascii="Arial" w:cs="Arial" w:eastAsia="Arial" w:hAnsi="Arial"/>
          <w:sz w:val="22"/>
          <w:szCs w:val="22"/>
          <w:color w:val="auto"/>
        </w:rPr>
        <w:t>Total operating expenses for the first quarter were $12.5 million.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Adjusted Earnings: </w:t>
      </w:r>
      <w:r>
        <w:rPr>
          <w:rFonts w:ascii="Arial" w:cs="Arial" w:eastAsia="Arial" w:hAnsi="Arial"/>
          <w:sz w:val="22"/>
          <w:szCs w:val="22"/>
          <w:color w:val="auto"/>
        </w:rPr>
        <w:t>Adjusted earnings for the first quarter of 2022 was $0.5 million, or $0.03 per share.</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adjusted earnings calculation does not include the benefit of the $0.9 million of Vibativ cost of goods, which were received with the product acquisition. It also does not include the benefit of the $0.4 million of Sancuso cost of goods, which were received with that product’s acquisition.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Cash Flow: </w:t>
      </w:r>
      <w:r>
        <w:rPr>
          <w:rFonts w:ascii="Arial" w:cs="Arial" w:eastAsia="Arial" w:hAnsi="Arial"/>
          <w:sz w:val="22"/>
          <w:szCs w:val="22"/>
          <w:color w:val="auto"/>
        </w:rPr>
        <w:t>Cash flow from operations for the quarter ended March 31, 2022 was $(0.15) million.</w:t>
      </w:r>
    </w:p>
    <w:p>
      <w:pPr>
        <w:spacing w:after="0" w:line="152" w:lineRule="exact"/>
        <w:rPr>
          <w:sz w:val="20"/>
          <w:szCs w:val="20"/>
          <w:color w:val="auto"/>
        </w:rPr>
      </w:pPr>
    </w:p>
    <w:p>
      <w:pPr>
        <w:ind w:right="80"/>
        <w:spacing w:after="0" w:line="269" w:lineRule="auto"/>
        <w:rPr>
          <w:sz w:val="20"/>
          <w:szCs w:val="20"/>
          <w:color w:val="auto"/>
        </w:rPr>
      </w:pPr>
      <w:r>
        <w:rPr>
          <w:rFonts w:ascii="Arial" w:cs="Arial" w:eastAsia="Arial" w:hAnsi="Arial"/>
          <w:sz w:val="22"/>
          <w:szCs w:val="22"/>
          <w:b w:val="1"/>
          <w:bCs w:val="1"/>
          <w:color w:val="auto"/>
        </w:rPr>
        <w:t xml:space="preserve">Balance Sheet: </w:t>
      </w:r>
      <w:r>
        <w:rPr>
          <w:rFonts w:ascii="Arial" w:cs="Arial" w:eastAsia="Arial" w:hAnsi="Arial"/>
          <w:sz w:val="22"/>
          <w:szCs w:val="22"/>
          <w:color w:val="auto"/>
        </w:rPr>
        <w:t>At March 31, 2022, Cumberland had $96.7 million in total assets including $17.3 million in cash and cash</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w:t>
      </w:r>
    </w:p>
    <w:p>
      <w:pPr>
        <w:spacing w:after="0" w:line="87"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Total liabilities were $55.9 million, including $20 million outstanding on the Company's revolving line of credit. Total shareholders' equity was $41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CUMBERLAND PHARMACEUTICALS:</w:t>
      </w:r>
    </w:p>
    <w:p>
      <w:pPr>
        <w:sectPr>
          <w:pgSz w:w="11900" w:h="16838" w:orient="portrait"/>
          <w:cols w:equalWidth="0" w:num="1">
            <w:col w:w="11240"/>
          </w:cols>
          <w:pgMar w:left="320" w:top="1050" w:right="339" w:bottom="1440" w:gutter="0" w:footer="0" w:header="0"/>
        </w:sectPr>
      </w:pPr>
    </w:p>
    <w:bookmarkStart w:id="5" w:name="page6"/>
    <w:bookmarkEnd w:id="5"/>
    <w:p>
      <w:pPr>
        <w:jc w:val="both"/>
        <w:spacing w:after="0" w:line="315" w:lineRule="auto"/>
        <w:rPr>
          <w:sz w:val="20"/>
          <w:szCs w:val="20"/>
          <w:color w:val="auto"/>
        </w:rPr>
      </w:pPr>
      <w:r>
        <w:rPr>
          <w:rFonts w:ascii="Arial" w:cs="Arial" w:eastAsia="Arial" w:hAnsi="Arial"/>
          <w:sz w:val="19"/>
          <w:szCs w:val="19"/>
          <w:b w:val="1"/>
          <w:bCs w:val="1"/>
          <w:color w:val="auto"/>
        </w:rPr>
        <w:t xml:space="preserve">Cumberland Pharmaceuticals Inc. </w:t>
      </w:r>
      <w:r>
        <w:rPr>
          <w:rFonts w:ascii="Arial" w:cs="Arial" w:eastAsia="Arial" w:hAnsi="Arial"/>
          <w:sz w:val="19"/>
          <w:szCs w:val="19"/>
          <w:color w:val="auto"/>
        </w:rPr>
        <w:t>is the largest biopharmaceutical company founded and headquartered in the Mid-South and</w:t>
      </w:r>
      <w:r>
        <w:rPr>
          <w:rFonts w:ascii="Arial" w:cs="Arial" w:eastAsia="Arial" w:hAnsi="Arial"/>
          <w:sz w:val="19"/>
          <w:szCs w:val="19"/>
          <w:b w:val="1"/>
          <w:bCs w:val="1"/>
          <w:color w:val="auto"/>
        </w:rPr>
        <w:t xml:space="preserve"> </w:t>
      </w:r>
      <w:r>
        <w:rPr>
          <w:rFonts w:ascii="Arial" w:cs="Arial" w:eastAsia="Arial" w:hAnsi="Arial"/>
          <w:sz w:val="19"/>
          <w:szCs w:val="19"/>
          <w:color w:val="auto"/>
        </w:rPr>
        <w:t>is focused on the delivery of high-quality, prescription brands designed to improve patient care. The company develops, acquires, and commercializes products for the hospital acute care, gastroenterology, rheumatology and oncology market segments.</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The Company’s portfolio of FDA-approved brands includes:</w:t>
      </w:r>
    </w:p>
    <w:p>
      <w:pPr>
        <w:spacing w:after="0" w:line="140" w:lineRule="exact"/>
        <w:rPr>
          <w:sz w:val="20"/>
          <w:szCs w:val="20"/>
          <w:color w:val="auto"/>
        </w:rPr>
      </w:pPr>
    </w:p>
    <w:p>
      <w:pPr>
        <w:ind w:left="580" w:hanging="329"/>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22"/>
          <w:szCs w:val="22"/>
          <w:b w:val="1"/>
          <w:bCs w:val="1"/>
          <w:color w:val="auto"/>
        </w:rPr>
        <w:t>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acetylcysteine</w:t>
      </w:r>
      <w:r>
        <w:rPr>
          <w:rFonts w:ascii="Arial" w:cs="Arial" w:eastAsia="Arial" w:hAnsi="Arial"/>
          <w:sz w:val="22"/>
          <w:szCs w:val="22"/>
          <w:color w:val="auto"/>
        </w:rPr>
        <w:t>) injection, for the treatment of acetaminophen poisoning;</w:t>
      </w:r>
    </w:p>
    <w:p>
      <w:pPr>
        <w:spacing w:after="0" w:line="83" w:lineRule="exact"/>
        <w:rPr>
          <w:rFonts w:ascii="Arial" w:cs="Arial" w:eastAsia="Arial" w:hAnsi="Arial"/>
          <w:sz w:val="18"/>
          <w:szCs w:val="18"/>
          <w:b w:val="1"/>
          <w:bCs w:val="1"/>
          <w:color w:val="auto"/>
        </w:rPr>
      </w:pPr>
    </w:p>
    <w:p>
      <w:pPr>
        <w:ind w:left="560" w:hanging="309"/>
        <w:spacing w:after="0"/>
        <w:tabs>
          <w:tab w:leader="none" w:pos="5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ibuprofen</w:t>
      </w:r>
      <w:r>
        <w:rPr>
          <w:rFonts w:ascii="Arial" w:cs="Arial" w:eastAsia="Arial" w:hAnsi="Arial"/>
          <w:sz w:val="22"/>
          <w:szCs w:val="22"/>
          <w:color w:val="auto"/>
        </w:rPr>
        <w:t>) injection, for the treatment of pain and fever;</w:t>
      </w:r>
    </w:p>
    <w:p>
      <w:pPr>
        <w:spacing w:after="0" w:line="75" w:lineRule="exact"/>
        <w:rPr>
          <w:rFonts w:ascii="Arial" w:cs="Arial" w:eastAsia="Arial" w:hAnsi="Arial"/>
          <w:sz w:val="22"/>
          <w:szCs w:val="22"/>
          <w:b w:val="1"/>
          <w:bCs w:val="1"/>
          <w:color w:val="auto"/>
        </w:rPr>
      </w:pPr>
    </w:p>
    <w:p>
      <w:pPr>
        <w:ind w:left="580" w:hanging="329"/>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22"/>
          <w:szCs w:val="22"/>
          <w:b w:val="1"/>
          <w:bCs w:val="1"/>
          <w:color w:val="auto"/>
        </w:rPr>
        <w:t>Kristalose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lactulose</w:t>
      </w:r>
      <w:r>
        <w:rPr>
          <w:rFonts w:ascii="Arial" w:cs="Arial" w:eastAsia="Arial" w:hAnsi="Arial"/>
          <w:sz w:val="22"/>
          <w:szCs w:val="22"/>
          <w:color w:val="auto"/>
        </w:rPr>
        <w:t>) oral, a prescription laxative, for the treatment of constipation;</w:t>
      </w:r>
    </w:p>
    <w:p>
      <w:pPr>
        <w:spacing w:after="0" w:line="77" w:lineRule="exact"/>
        <w:rPr>
          <w:rFonts w:ascii="Arial" w:cs="Arial" w:eastAsia="Arial" w:hAnsi="Arial"/>
          <w:sz w:val="18"/>
          <w:szCs w:val="18"/>
          <w:b w:val="1"/>
          <w:bCs w:val="1"/>
          <w:color w:val="auto"/>
        </w:rPr>
      </w:pPr>
    </w:p>
    <w:p>
      <w:pPr>
        <w:ind w:left="580" w:right="380" w:hanging="329"/>
        <w:spacing w:after="0" w:line="226" w:lineRule="auto"/>
        <w:tabs>
          <w:tab w:leader="none" w:pos="575" w:val="left"/>
        </w:tabs>
        <w:numPr>
          <w:ilvl w:val="0"/>
          <w:numId w:val="4"/>
        </w:numPr>
        <w:rPr>
          <w:rFonts w:ascii="Arial" w:cs="Arial" w:eastAsia="Arial" w:hAnsi="Arial"/>
          <w:sz w:val="18"/>
          <w:szCs w:val="18"/>
          <w:b w:val="1"/>
          <w:bCs w:val="1"/>
          <w:color w:val="auto"/>
        </w:rPr>
      </w:pPr>
      <w:r>
        <w:rPr>
          <w:rFonts w:ascii="Arial" w:cs="Arial" w:eastAsia="Arial" w:hAnsi="Arial"/>
          <w:sz w:val="22"/>
          <w:szCs w:val="22"/>
          <w:b w:val="1"/>
          <w:bCs w:val="1"/>
          <w:color w:val="auto"/>
        </w:rPr>
        <w:t>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w:t>
      </w:r>
      <w:r>
        <w:rPr>
          <w:rFonts w:ascii="Arial" w:cs="Arial" w:eastAsia="Arial" w:hAnsi="Arial"/>
          <w:sz w:val="22"/>
          <w:szCs w:val="22"/>
          <w:color w:val="auto"/>
        </w:rPr>
        <w:t>, (</w:t>
      </w:r>
      <w:r>
        <w:rPr>
          <w:rFonts w:ascii="Arial" w:cs="Arial" w:eastAsia="Arial" w:hAnsi="Arial"/>
          <w:sz w:val="22"/>
          <w:szCs w:val="22"/>
          <w:i w:val="1"/>
          <w:iCs w:val="1"/>
          <w:color w:val="auto"/>
        </w:rPr>
        <w:t>omeprazole, clarithromycin, amoxicillin</w:t>
      </w:r>
      <w:r>
        <w:rPr>
          <w:rFonts w:ascii="Arial" w:cs="Arial" w:eastAsia="Arial" w:hAnsi="Arial"/>
          <w:sz w:val="22"/>
          <w:szCs w:val="22"/>
          <w:color w:val="auto"/>
        </w:rPr>
        <w:t>) oral, for the treatment of Helicobacter pylori (</w:t>
      </w:r>
      <w:r>
        <w:rPr>
          <w:rFonts w:ascii="Arial" w:cs="Arial" w:eastAsia="Arial" w:hAnsi="Arial"/>
          <w:sz w:val="22"/>
          <w:szCs w:val="22"/>
          <w:i w:val="1"/>
          <w:iCs w:val="1"/>
          <w:color w:val="auto"/>
        </w:rPr>
        <w:t>H. pylori</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infection and related duodenal ulcer disease;</w:t>
      </w:r>
    </w:p>
    <w:p>
      <w:pPr>
        <w:spacing w:after="0" w:line="120" w:lineRule="exact"/>
        <w:rPr>
          <w:rFonts w:ascii="Arial" w:cs="Arial" w:eastAsia="Arial" w:hAnsi="Arial"/>
          <w:sz w:val="18"/>
          <w:szCs w:val="18"/>
          <w:b w:val="1"/>
          <w:bCs w:val="1"/>
          <w:color w:val="auto"/>
        </w:rPr>
      </w:pPr>
    </w:p>
    <w:p>
      <w:pPr>
        <w:ind w:left="580" w:right="360" w:hanging="329"/>
        <w:spacing w:after="0" w:line="226" w:lineRule="auto"/>
        <w:tabs>
          <w:tab w:leader="none" w:pos="575" w:val="left"/>
        </w:tabs>
        <w:numPr>
          <w:ilvl w:val="0"/>
          <w:numId w:val="4"/>
        </w:numPr>
        <w:rPr>
          <w:rFonts w:ascii="Arial" w:cs="Arial" w:eastAsia="Arial" w:hAnsi="Arial"/>
          <w:sz w:val="18"/>
          <w:szCs w:val="18"/>
          <w:b w:val="1"/>
          <w:bCs w:val="1"/>
          <w:color w:val="auto"/>
        </w:rPr>
      </w:pPr>
      <w:r>
        <w:rPr>
          <w:rFonts w:ascii="Arial" w:cs="Arial" w:eastAsia="Arial" w:hAnsi="Arial"/>
          <w:sz w:val="22"/>
          <w:szCs w:val="22"/>
          <w:b w:val="1"/>
          <w:bCs w:val="1"/>
          <w:color w:val="auto"/>
        </w:rPr>
        <w:t>RediTrex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(methotrexate)</w:t>
      </w:r>
      <w:r>
        <w:rPr>
          <w:rFonts w:ascii="Arial" w:cs="Arial" w:eastAsia="Arial" w:hAnsi="Arial"/>
          <w:sz w:val="22"/>
          <w:szCs w:val="22"/>
          <w:b w:val="1"/>
          <w:bCs w:val="1"/>
          <w:color w:val="auto"/>
        </w:rPr>
        <w:t xml:space="preserve"> </w:t>
      </w:r>
      <w:r>
        <w:rPr>
          <w:rFonts w:ascii="Arial" w:cs="Arial" w:eastAsia="Arial" w:hAnsi="Arial"/>
          <w:sz w:val="22"/>
          <w:szCs w:val="22"/>
          <w:color w:val="auto"/>
        </w:rPr>
        <w:t>injection, for the treatment of active rheumatoid, juvenile idiopathic and severe psoriatic</w:t>
      </w:r>
      <w:r>
        <w:rPr>
          <w:rFonts w:ascii="Arial" w:cs="Arial" w:eastAsia="Arial" w:hAnsi="Arial"/>
          <w:sz w:val="22"/>
          <w:szCs w:val="22"/>
          <w:b w:val="1"/>
          <w:bCs w:val="1"/>
          <w:color w:val="auto"/>
        </w:rPr>
        <w:t xml:space="preserve"> </w:t>
      </w:r>
      <w:r>
        <w:rPr>
          <w:rFonts w:ascii="Arial" w:cs="Arial" w:eastAsia="Arial" w:hAnsi="Arial"/>
          <w:sz w:val="22"/>
          <w:szCs w:val="22"/>
          <w:color w:val="auto"/>
        </w:rPr>
        <w:t>arthritis, as well as disabling psoriasis;</w:t>
      </w:r>
    </w:p>
    <w:p>
      <w:pPr>
        <w:spacing w:after="0" w:line="112" w:lineRule="exact"/>
        <w:rPr>
          <w:rFonts w:ascii="Arial" w:cs="Arial" w:eastAsia="Arial" w:hAnsi="Arial"/>
          <w:sz w:val="18"/>
          <w:szCs w:val="18"/>
          <w:b w:val="1"/>
          <w:bCs w:val="1"/>
          <w:color w:val="auto"/>
        </w:rPr>
      </w:pPr>
    </w:p>
    <w:p>
      <w:pPr>
        <w:ind w:left="580" w:right="20" w:hanging="329"/>
        <w:spacing w:after="0" w:line="269" w:lineRule="auto"/>
        <w:tabs>
          <w:tab w:leader="none" w:pos="575"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Sancuso</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granisetron)</w:t>
      </w:r>
      <w:r>
        <w:rPr>
          <w:rFonts w:ascii="Arial" w:cs="Arial" w:eastAsia="Arial" w:hAnsi="Arial"/>
          <w:sz w:val="22"/>
          <w:szCs w:val="22"/>
          <w:b w:val="1"/>
          <w:bCs w:val="1"/>
          <w:color w:val="auto"/>
        </w:rPr>
        <w:t xml:space="preserve"> </w:t>
      </w:r>
      <w:r>
        <w:rPr>
          <w:rFonts w:ascii="Arial" w:cs="Arial" w:eastAsia="Arial" w:hAnsi="Arial"/>
          <w:sz w:val="22"/>
          <w:szCs w:val="22"/>
          <w:color w:val="auto"/>
        </w:rPr>
        <w:t>transdermal, for the prevention of nausea and vomiting in patients receiving certain types of</w:t>
      </w:r>
      <w:r>
        <w:rPr>
          <w:rFonts w:ascii="Arial" w:cs="Arial" w:eastAsia="Arial" w:hAnsi="Arial"/>
          <w:sz w:val="22"/>
          <w:szCs w:val="22"/>
          <w:b w:val="1"/>
          <w:bCs w:val="1"/>
          <w:color w:val="auto"/>
        </w:rPr>
        <w:t xml:space="preserve"> </w:t>
      </w:r>
      <w:r>
        <w:rPr>
          <w:rFonts w:ascii="Arial" w:cs="Arial" w:eastAsia="Arial" w:hAnsi="Arial"/>
          <w:sz w:val="22"/>
          <w:szCs w:val="22"/>
          <w:color w:val="auto"/>
        </w:rPr>
        <w:t>chemotherapy treatment;</w:t>
      </w:r>
    </w:p>
    <w:p>
      <w:pPr>
        <w:spacing w:after="0" w:line="88" w:lineRule="exact"/>
        <w:rPr>
          <w:rFonts w:ascii="Arial" w:cs="Arial" w:eastAsia="Arial" w:hAnsi="Arial"/>
          <w:sz w:val="22"/>
          <w:szCs w:val="22"/>
          <w:color w:val="auto"/>
        </w:rPr>
      </w:pPr>
    </w:p>
    <w:p>
      <w:pPr>
        <w:ind w:left="580" w:right="380" w:hanging="329"/>
        <w:spacing w:after="0" w:line="226" w:lineRule="auto"/>
        <w:tabs>
          <w:tab w:leader="none" w:pos="575" w:val="left"/>
        </w:tabs>
        <w:numPr>
          <w:ilvl w:val="0"/>
          <w:numId w:val="4"/>
        </w:numPr>
        <w:rPr>
          <w:rFonts w:ascii="Arial" w:cs="Arial" w:eastAsia="Arial" w:hAnsi="Arial"/>
          <w:sz w:val="18"/>
          <w:szCs w:val="18"/>
          <w:b w:val="1"/>
          <w:bCs w:val="1"/>
          <w:color w:val="auto"/>
        </w:rPr>
      </w:pPr>
      <w:r>
        <w:rPr>
          <w:rFonts w:ascii="Arial" w:cs="Arial" w:eastAsia="Arial" w:hAnsi="Arial"/>
          <w:sz w:val="22"/>
          <w:szCs w:val="22"/>
          <w:b w:val="1"/>
          <w:bCs w:val="1"/>
          <w:color w:val="auto"/>
        </w:rPr>
        <w:t>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conivaptan</w:t>
      </w:r>
      <w:r>
        <w:rPr>
          <w:rFonts w:ascii="Arial" w:cs="Arial" w:eastAsia="Arial" w:hAnsi="Arial"/>
          <w:sz w:val="22"/>
          <w:szCs w:val="22"/>
          <w:color w:val="auto"/>
        </w:rPr>
        <w:t>) injection, to raise serum sodium levels in hospitalized patients with euvolemic and</w:t>
      </w:r>
      <w:r>
        <w:rPr>
          <w:rFonts w:ascii="Arial" w:cs="Arial" w:eastAsia="Arial" w:hAnsi="Arial"/>
          <w:sz w:val="22"/>
          <w:szCs w:val="22"/>
          <w:b w:val="1"/>
          <w:bCs w:val="1"/>
          <w:color w:val="auto"/>
        </w:rPr>
        <w:t xml:space="preserve"> </w:t>
      </w:r>
      <w:r>
        <w:rPr>
          <w:rFonts w:ascii="Arial" w:cs="Arial" w:eastAsia="Arial" w:hAnsi="Arial"/>
          <w:sz w:val="22"/>
          <w:szCs w:val="22"/>
          <w:color w:val="auto"/>
        </w:rPr>
        <w:t>hypervolemic hyponatremia; and</w:t>
      </w:r>
    </w:p>
    <w:p>
      <w:pPr>
        <w:spacing w:after="0" w:line="120" w:lineRule="exact"/>
        <w:rPr>
          <w:rFonts w:ascii="Arial" w:cs="Arial" w:eastAsia="Arial" w:hAnsi="Arial"/>
          <w:sz w:val="18"/>
          <w:szCs w:val="18"/>
          <w:b w:val="1"/>
          <w:bCs w:val="1"/>
          <w:color w:val="auto"/>
        </w:rPr>
      </w:pPr>
    </w:p>
    <w:p>
      <w:pPr>
        <w:ind w:left="580" w:right="380" w:hanging="329"/>
        <w:spacing w:after="0" w:line="254" w:lineRule="auto"/>
        <w:tabs>
          <w:tab w:leader="none" w:pos="575"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Vibativ</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telavancin</w:t>
      </w:r>
      <w:r>
        <w:rPr>
          <w:rFonts w:ascii="Arial" w:cs="Arial" w:eastAsia="Arial" w:hAnsi="Arial"/>
          <w:sz w:val="20"/>
          <w:szCs w:val="20"/>
          <w:color w:val="auto"/>
        </w:rPr>
        <w:t>) injection, for the treatment of certain serious bacterial infections including hospital-acquired and</w:t>
      </w:r>
      <w:r>
        <w:rPr>
          <w:rFonts w:ascii="Arial" w:cs="Arial" w:eastAsia="Arial" w:hAnsi="Arial"/>
          <w:sz w:val="20"/>
          <w:szCs w:val="20"/>
          <w:b w:val="1"/>
          <w:bCs w:val="1"/>
          <w:color w:val="auto"/>
        </w:rPr>
        <w:t xml:space="preserve"> </w:t>
      </w:r>
      <w:r>
        <w:rPr>
          <w:rFonts w:ascii="Arial" w:cs="Arial" w:eastAsia="Arial" w:hAnsi="Arial"/>
          <w:sz w:val="20"/>
          <w:szCs w:val="20"/>
          <w:color w:val="auto"/>
        </w:rPr>
        <w:t>ventilator-associated bacterial pneumonia, as well as complicated skin and skin structure infections;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also has a series of Phase II clinical programs underway evaluating its ifetroban product candidate in patients with cardiomyopathy associated with Duchenne Muscular Dystrophy (DMD), Systemic Sclerosis (SSc), and Aspirin-Exacerbated Respiratory Disease (AERD).</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more information on Cumberland’s approved products, including full prescribing information, please visit links to the individual product websites, which can be found on the Company’s website www.cumberlandpharma.com.</w:t>
      </w:r>
    </w:p>
    <w:p>
      <w:pPr>
        <w:sectPr>
          <w:pgSz w:w="11900" w:h="16838" w:orient="portrait"/>
          <w:cols w:equalWidth="0" w:num="1">
            <w:col w:w="11240"/>
          </w:cols>
          <w:pgMar w:left="320" w:top="1044"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About 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(acetylcysteine) Injection</w:t>
      </w:r>
    </w:p>
    <w:p>
      <w:pPr>
        <w:spacing w:after="0" w:line="8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Acetadote, administered intravenously within 8 to 10 hours after ingestion of a potentially hepatotoxic quantity of acetaminophen, is indicated to prevent or lessen hepatic injury. Used in the emergency department, Acetadote is approved in the United States to treat overdose of acetaminophen, a common ingredient in many over-the-counter medications. Acetadote is contraindicated in patients with hypersensitivity or previous anaphylactoid reactions to acetylcysteine or any components of the preparation. For full prescribing and safety information, visit www.acetadote.com.</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(ibuprofen) Injection</w:t>
      </w:r>
    </w:p>
    <w:p>
      <w:pPr>
        <w:spacing w:after="0" w:line="9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Caldolor is indicated in adults and pediatric patients for the management of mild to moderate pain and management of moderate to severe pain as an adjunct to opioid analgesics, as well as the reduction of fever. It was the first FDA-approved intravenous therapy for fever. Caldolor is contraindicated in patients with known hypersensitivity to ibuprofen or other NSAIDs, patients with a history of asthma or other allergic type reactions after taking aspirin or other NSAIDs. Caldolor is contraindicated for use during the peri-operative period in the setting of coronary artery bypass graft (CABG) surgery. For full prescribing and safety information, including boxed warning, visit www.caldolor.com.</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Kristalose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(lactulose) Oral Solution</w:t>
      </w:r>
    </w:p>
    <w:p>
      <w:pPr>
        <w:spacing w:after="0" w:line="89"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Kristalose is indicated for the treatment of acute and chronic constipation. It is a unique, proprietary, crystalline form of lactulose, with no restrictions on length of therapy or patient age. Kristalose is contraindicated in patients who require a low-galactose diet. Elderly, debilitated patients who receive lactulose for more than six months should have serum electrolytes (potassium, chloride, carbon dioxide) measured periodically. For full prescribing and safety information, visit www.kristalose.com</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 (omeprazole, clarithromycin, amoxicillin)</w:t>
      </w:r>
    </w:p>
    <w:p>
      <w:pPr>
        <w:spacing w:after="0" w:line="8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Omeprazole is an antisecretory drug, which works by decreasing the amount of acid the stomach produces. Clarithromycin and amoxicillin are antibacterial drugs, which inhibit the growth of bacteria allowing the stomach lining to heal. Omeclamox-Pak is contraindicated in patients with a history of hypersensitivity to omeprazole, any macrolide antibiotic or penicillin. For full prescribing and safety information, visit www.omeclamox.com.</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RediTrex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(methotrexate) Injection</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RediTrex is a single-dose prefilled syringe containing prescription methotrexate. RediTrex is used to treat adults with severe, active rheumatoid arthritis and children with active polyarticular juvenile idiopathic arthritis, after treatment with other medicines including non-steroidal anti-inflammatory drugs (NSAIDS) have been used and did not work well. Methotrexate can control the symptoms of severe, resistant, disabling psoriasis in adults when other types of treatment have failed. For full prescribing and safety information, visit www.reditrex.com</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Sancuso</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granisetron) Transdermal System</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Sancuso is the only skin patch approved by the U.S. Food and Drug Administration for the prevention of chemotherapy-induced nausea and vomiting (CINV) in patients receiving moderately and/or highly emetogenic chemotherapy. When applied 24 to 48 hours before receiving chemotherapy, the SANCUSO patch slowly and continuously releases the medicine contained in the adhesive through clean and intact skin areas into the patient’s bloodstream. It can be worn for up to seven days in a row for chemotherapy regimens of up to five consecutive days. For full prescribing and safety information, visit www.sancuso.com.</w:t>
      </w:r>
    </w:p>
    <w:p>
      <w:pPr>
        <w:sectPr>
          <w:pgSz w:w="11900" w:h="16838" w:orient="portrait"/>
          <w:cols w:equalWidth="0" w:num="1">
            <w:col w:w="11240"/>
          </w:cols>
          <w:pgMar w:left="320" w:top="1038"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About 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(conivaptan hydrochloride) Injection</w:t>
      </w:r>
    </w:p>
    <w:p>
      <w:pPr>
        <w:spacing w:after="0" w:line="8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Vaprisol is an intravenous treatment for hyponatremia used in the critical care setting. Hyponatremia is an electrolyte disturbance in which sodium ion concentration in blood plasma is lower than normal. This can be associated with a variety of critical care conditions including congestive heart failure, liver failure, kidney failure and pneumonia. The product is a vasopressin receptor antagonist that raises serum sodium levels and promotes free water secretion. Vaprisol is contraindicated in patients with hypovolemic hyponatremia. The coadministration of Vaprisol with potent CYP3A inhibitors, such as ketoconazole, itraconazole, clarithromycin, ritonavir, and indinavir, is contraindicated. For full prescribing and safety information, including boxed warning, visit www.vaprisol.com.</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Vibativ</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(telavancin) for Injection</w:t>
      </w:r>
    </w:p>
    <w:p>
      <w:pPr>
        <w:spacing w:after="0" w:line="95" w:lineRule="exact"/>
        <w:rPr>
          <w:sz w:val="20"/>
          <w:szCs w:val="20"/>
          <w:color w:val="auto"/>
        </w:rPr>
      </w:pPr>
    </w:p>
    <w:p>
      <w:pPr>
        <w:ind w:right="60"/>
        <w:spacing w:after="0" w:line="294" w:lineRule="auto"/>
        <w:rPr>
          <w:sz w:val="20"/>
          <w:szCs w:val="20"/>
          <w:color w:val="auto"/>
        </w:rPr>
      </w:pPr>
      <w:r>
        <w:rPr>
          <w:rFonts w:ascii="Arial" w:cs="Arial" w:eastAsia="Arial" w:hAnsi="Arial"/>
          <w:sz w:val="19"/>
          <w:szCs w:val="19"/>
          <w:color w:val="auto"/>
        </w:rPr>
        <w:t>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Intravenous unfractionated heparin sodium is contraindicated with Vibativ administration due to artificially prolonged activated partial thromboplastin time (aPTT) test results for up to 18 hours after Vibativ administration. Vibativ is contraindicated in patients with a known hypersensitivity to telavancin. For more information please visit www.vibativ.com.</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Cumberland Emerging Technologies (CET)</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Cumberland Emerging Technologies, Inc. (www.cet-fund.com) is a joint initiative between Cumberland Pharmaceuticals Inc., Vanderbilt University, LaunchTN, and WinHealth. The mission of CET is to advance biomedical technologies and products conceived at Vanderbilt University and other regional research centers towards the marketplace.</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CET helps manage the development and commercialization process for select projects, and provides expertise on intellectual property, regulatory, manufacturing and marketing issues that are critical to successful new biomedical products. CET's Life Sciences Center provides laboratory space, equipment and infrastructure for CET’s activities and other early-stage life sciences ventures.</w:t>
      </w:r>
    </w:p>
    <w:p>
      <w:pPr>
        <w:sectPr>
          <w:pgSz w:w="11900" w:h="16838" w:orient="portrait"/>
          <w:cols w:equalWidth="0" w:num="1">
            <w:col w:w="11240"/>
          </w:cols>
          <w:pgMar w:left="320" w:top="1038"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u w:val="single" w:color="auto"/>
          <w:color w:val="auto"/>
        </w:rPr>
        <w:t>FORWARD LOOKING STATEMENTS: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This press release contains forward-looking statements, which are subject to certain risks and reflect Cumberland’s current views on future events based on what it believes are reasonable assumptions. No assurance can be given that these events will occur. Forward-looking statements include, among other things, statements regarding the company’s intent, belief or expectations, and can be identified by the use of terminology such as “may,” “will,” “expect,” “believe,” “intend,” “plan,” “estimate,” “should,” “seek,” “anticipate” and other comparable terms or the negative thereof. As with any business, all phases of Cumberland’s operations are subject to factors outside of its control, and any one or combination of these factors could materially affect Cumberland’s operation results. These factors include market conditions, competition, an inability of manufacturers to produce Cumberland’s products on a timely basis, failure of manufacturers to comply with regulations applicable to pharmaceutical manufacturers, natural disasters, public health epidemics, maintaining an effective sales and marketing infrastructure, and other events beyond the company’s control as more fully discussed in its most recent 10-Q as filed with the SEC.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SOURCE: Cumberland Pharmaceuticals Inc.</w:t>
      </w:r>
    </w:p>
    <w:p>
      <w:pPr>
        <w:spacing w:after="0" w:line="200" w:lineRule="exact"/>
        <w:rPr>
          <w:sz w:val="20"/>
          <w:szCs w:val="20"/>
          <w:color w:val="auto"/>
        </w:rPr>
      </w:pPr>
    </w:p>
    <w:p>
      <w:pPr>
        <w:spacing w:after="0" w:line="399" w:lineRule="exact"/>
        <w:rPr>
          <w:sz w:val="20"/>
          <w:szCs w:val="20"/>
          <w:color w:val="auto"/>
        </w:rPr>
      </w:pPr>
    </w:p>
    <w:tbl>
      <w:tblPr>
        <w:tblLayout w:type="fixed"/>
        <w:tblInd w:w="1890" w:type="dxa"/>
        <w:tblCellMar>
          <w:top w:w="0" w:type="dxa"/>
          <w:left w:w="0" w:type="dxa"/>
          <w:bottom w:w="0" w:type="dxa"/>
          <w:right w:w="0" w:type="dxa"/>
        </w:tblCellMar>
      </w:tblPr>
      <w:tr>
        <w:trPr>
          <w:trHeight w:val="243"/>
        </w:trPr>
        <w:tc>
          <w:tcPr>
            <w:tcW w:w="288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Investor Contact:</w:t>
            </w:r>
          </w:p>
        </w:tc>
        <w:tc>
          <w:tcPr>
            <w:tcW w:w="880" w:type="dxa"/>
            <w:vAlign w:val="bottom"/>
            <w:tcBorders>
              <w:top w:val="single" w:sz="8" w:color="auto"/>
              <w:bottom w:val="single" w:sz="8" w:color="auto"/>
              <w:right w:val="single" w:sz="8" w:color="auto"/>
            </w:tcBorders>
          </w:tcPr>
          <w:p>
            <w:pPr>
              <w:spacing w:after="0"/>
              <w:rPr>
                <w:sz w:val="21"/>
                <w:szCs w:val="21"/>
                <w:color w:val="auto"/>
              </w:rPr>
            </w:pPr>
          </w:p>
        </w:tc>
        <w:tc>
          <w:tcPr>
            <w:tcW w:w="37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Media Contact:</w:t>
            </w:r>
          </w:p>
        </w:tc>
      </w:tr>
      <w:tr>
        <w:trPr>
          <w:trHeight w:val="223"/>
        </w:trPr>
        <w:tc>
          <w:tcPr>
            <w:tcW w:w="2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Shayla Simpson</w:t>
            </w:r>
          </w:p>
        </w:tc>
        <w:tc>
          <w:tcPr>
            <w:tcW w:w="88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Molly Aggas</w:t>
            </w:r>
          </w:p>
        </w:tc>
      </w:tr>
      <w:tr>
        <w:trPr>
          <w:trHeight w:val="223"/>
        </w:trPr>
        <w:tc>
          <w:tcPr>
            <w:tcW w:w="2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Cumberland Pharmaceuticals Inc.</w:t>
            </w:r>
          </w:p>
        </w:tc>
        <w:tc>
          <w:tcPr>
            <w:tcW w:w="88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Dalton Agency</w:t>
            </w:r>
          </w:p>
        </w:tc>
      </w:tr>
      <w:tr>
        <w:trPr>
          <w:trHeight w:val="223"/>
        </w:trPr>
        <w:tc>
          <w:tcPr>
            <w:tcW w:w="2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(615) 255-0068</w:t>
            </w:r>
          </w:p>
        </w:tc>
        <w:tc>
          <w:tcPr>
            <w:tcW w:w="88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(704) 641-6641</w:t>
            </w:r>
          </w:p>
        </w:tc>
      </w:tr>
      <w:tr>
        <w:trPr>
          <w:trHeight w:val="598"/>
        </w:trPr>
        <w:tc>
          <w:tcPr>
            <w:tcW w:w="2880" w:type="dxa"/>
            <w:vAlign w:val="bottom"/>
          </w:tcPr>
          <w:p>
            <w:pPr>
              <w:spacing w:after="0"/>
              <w:rPr>
                <w:sz w:val="24"/>
                <w:szCs w:val="24"/>
                <w:color w:val="auto"/>
              </w:rPr>
            </w:pPr>
          </w:p>
        </w:tc>
        <w:tc>
          <w:tcPr>
            <w:tcW w:w="4620" w:type="dxa"/>
            <w:vAlign w:val="bottom"/>
            <w:gridSpan w:val="2"/>
          </w:tcPr>
          <w:p>
            <w:pPr>
              <w:ind w:left="420"/>
              <w:spacing w:after="0"/>
              <w:rPr>
                <w:sz w:val="20"/>
                <w:szCs w:val="20"/>
                <w:color w:val="auto"/>
              </w:rPr>
            </w:pPr>
            <w:r>
              <w:rPr>
                <w:rFonts w:ascii="Arial" w:cs="Arial" w:eastAsia="Arial" w:hAnsi="Arial"/>
                <w:sz w:val="22"/>
                <w:szCs w:val="22"/>
                <w:color w:val="auto"/>
              </w:rPr>
              <w:t>- MORE -</w:t>
            </w:r>
          </w:p>
        </w:tc>
      </w:tr>
    </w:tbl>
    <w:p>
      <w:pPr>
        <w:sectPr>
          <w:pgSz w:w="11900" w:h="16838" w:orient="portrait"/>
          <w:cols w:equalWidth="0" w:num="1">
            <w:col w:w="11240"/>
          </w:cols>
          <w:pgMar w:left="320" w:top="89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2022</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c>
          <w:tcPr>
            <w:tcW w:w="0" w:type="dxa"/>
            <w:vAlign w:val="bottom"/>
          </w:tcPr>
          <w:p>
            <w:pPr>
              <w:spacing w:after="0"/>
              <w:rPr>
                <w:sz w:val="1"/>
                <w:szCs w:val="1"/>
                <w:color w:val="auto"/>
              </w:rPr>
            </w:pPr>
          </w:p>
        </w:tc>
      </w:tr>
      <w:tr>
        <w:trPr>
          <w:trHeight w:val="210"/>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17,266,785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27,040,816</w:t>
            </w:r>
          </w:p>
        </w:tc>
        <w:tc>
          <w:tcPr>
            <w:tcW w:w="0" w:type="dxa"/>
            <w:vAlign w:val="bottom"/>
          </w:tcPr>
          <w:p>
            <w:pPr>
              <w:spacing w:after="0"/>
              <w:rPr>
                <w:sz w:val="1"/>
                <w:szCs w:val="1"/>
                <w:color w:val="auto"/>
              </w:rPr>
            </w:pPr>
          </w:p>
        </w:tc>
      </w:tr>
      <w:tr>
        <w:trPr>
          <w:trHeight w:val="229"/>
        </w:trPr>
        <w:tc>
          <w:tcPr>
            <w:tcW w:w="72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14,635,435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6,877,346</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9,878,680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8,429,882</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3,561,027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3,339,969</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45,341,927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45,688,013</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Non-current inventories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10,593,792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9,048,567</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442,635</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34,479,356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23,954,475</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1,932,876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882,000</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761,177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1,024,200</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3,178,857</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3,419,908</w:t>
            </w:r>
          </w:p>
        </w:tc>
        <w:tc>
          <w:tcPr>
            <w:tcW w:w="0" w:type="dxa"/>
            <w:vAlign w:val="bottom"/>
          </w:tcPr>
          <w:p>
            <w:pPr>
              <w:spacing w:after="0"/>
              <w:rPr>
                <w:sz w:val="1"/>
                <w:szCs w:val="1"/>
                <w:color w:val="auto"/>
              </w:rPr>
            </w:pPr>
          </w:p>
        </w:tc>
      </w:tr>
      <w:tr>
        <w:trPr>
          <w:trHeight w:val="223"/>
        </w:trPr>
        <w:tc>
          <w:tcPr>
            <w:tcW w:w="722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96,697,106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84,459,798</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11,447,505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9,640,980</w:t>
            </w:r>
          </w:p>
        </w:tc>
        <w:tc>
          <w:tcPr>
            <w:tcW w:w="0" w:type="dxa"/>
            <w:vAlign w:val="bottom"/>
          </w:tcPr>
          <w:p>
            <w:pPr>
              <w:spacing w:after="0"/>
              <w:rPr>
                <w:sz w:val="1"/>
                <w:szCs w:val="1"/>
                <w:color w:val="auto"/>
              </w:rPr>
            </w:pPr>
          </w:p>
        </w:tc>
      </w:tr>
      <w:tr>
        <w:trPr>
          <w:trHeight w:val="229"/>
        </w:trPr>
        <w:tc>
          <w:tcPr>
            <w:tcW w:w="7220" w:type="dxa"/>
            <w:vAlign w:val="bottom"/>
          </w:tcPr>
          <w:p>
            <w:pPr>
              <w:ind w:left="360"/>
              <w:spacing w:after="0"/>
              <w:rPr>
                <w:sz w:val="20"/>
                <w:szCs w:val="20"/>
                <w:color w:val="auto"/>
              </w:rPr>
            </w:pPr>
            <w:r>
              <w:rPr>
                <w:rFonts w:ascii="Arial" w:cs="Arial" w:eastAsia="Arial" w:hAnsi="Arial"/>
                <w:sz w:val="18"/>
                <w:szCs w:val="18"/>
                <w:color w:val="auto"/>
              </w:rPr>
              <w:t>Operating lease current liabilities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766,488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969,677</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12,343,405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8,668,303</w:t>
            </w:r>
          </w:p>
        </w:tc>
        <w:tc>
          <w:tcPr>
            <w:tcW w:w="0" w:type="dxa"/>
            <w:vAlign w:val="bottom"/>
          </w:tcPr>
          <w:p>
            <w:pPr>
              <w:spacing w:after="0"/>
              <w:rPr>
                <w:sz w:val="1"/>
                <w:szCs w:val="1"/>
                <w:color w:val="auto"/>
              </w:rPr>
            </w:pPr>
          </w:p>
        </w:tc>
      </w:tr>
      <w:tr>
        <w:trPr>
          <w:trHeight w:val="223"/>
        </w:trPr>
        <w:tc>
          <w:tcPr>
            <w:tcW w:w="72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24,557,398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19,278,960</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line of credit</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Operating lease noncurrent liabilities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22,712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90,016</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11,323,593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7,488,844</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55,903,703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41,857,820</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20" w:type="dxa"/>
            <w:vAlign w:val="bottom"/>
          </w:tcPr>
          <w:p>
            <w:pPr>
              <w:ind w:left="340"/>
              <w:spacing w:after="0" w:line="176" w:lineRule="exact"/>
              <w:rPr>
                <w:sz w:val="20"/>
                <w:szCs w:val="20"/>
                <w:color w:val="auto"/>
              </w:rPr>
            </w:pPr>
            <w:r>
              <w:rPr>
                <w:rFonts w:ascii="Arial" w:cs="Arial" w:eastAsia="Arial" w:hAnsi="Arial"/>
                <w:sz w:val="18"/>
                <w:szCs w:val="18"/>
                <w:color w:val="auto"/>
                <w:w w:val="94"/>
              </w:rPr>
              <w:t>Common stock—no par value; 100,000,000 shares authorized; 14,730,760 and 14,742,754</w:t>
            </w:r>
          </w:p>
        </w:tc>
        <w:tc>
          <w:tcPr>
            <w:tcW w:w="24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48,046,764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48,452,906</w:t>
            </w:r>
          </w:p>
        </w:tc>
        <w:tc>
          <w:tcPr>
            <w:tcW w:w="0" w:type="dxa"/>
            <w:vAlign w:val="bottom"/>
          </w:tcPr>
          <w:p>
            <w:pPr>
              <w:spacing w:after="0"/>
              <w:rPr>
                <w:sz w:val="1"/>
                <w:szCs w:val="1"/>
                <w:color w:val="auto"/>
              </w:rPr>
            </w:pPr>
          </w:p>
        </w:tc>
      </w:tr>
      <w:tr>
        <w:trPr>
          <w:trHeight w:val="230"/>
        </w:trPr>
        <w:tc>
          <w:tcPr>
            <w:tcW w:w="7220" w:type="dxa"/>
            <w:vAlign w:val="bottom"/>
          </w:tcPr>
          <w:p>
            <w:pPr>
              <w:ind w:left="340"/>
              <w:spacing w:after="0"/>
              <w:rPr>
                <w:sz w:val="20"/>
                <w:szCs w:val="20"/>
                <w:color w:val="auto"/>
              </w:rPr>
            </w:pPr>
            <w:r>
              <w:rPr>
                <w:rFonts w:ascii="Arial" w:cs="Arial" w:eastAsia="Arial" w:hAnsi="Arial"/>
                <w:sz w:val="18"/>
                <w:szCs w:val="18"/>
                <w:color w:val="auto"/>
                <w:w w:val="95"/>
              </w:rPr>
              <w:t>shares issued and outstanding as of March 31, 2022 and December 31, 2021, respectively</w:t>
            </w:r>
          </w:p>
        </w:tc>
        <w:tc>
          <w:tcPr>
            <w:tcW w:w="2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 (deficit)</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(7,023,853)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(5,638,600)</w:t>
            </w:r>
          </w:p>
        </w:tc>
        <w:tc>
          <w:tcPr>
            <w:tcW w:w="0" w:type="dxa"/>
            <w:vAlign w:val="bottom"/>
          </w:tcPr>
          <w:p>
            <w:pPr>
              <w:spacing w:after="0"/>
              <w:rPr>
                <w:sz w:val="1"/>
                <w:szCs w:val="1"/>
                <w:color w:val="auto"/>
              </w:rPr>
            </w:pPr>
          </w:p>
        </w:tc>
      </w:tr>
      <w:tr>
        <w:trPr>
          <w:trHeight w:val="223"/>
        </w:trPr>
        <w:tc>
          <w:tcPr>
            <w:tcW w:w="7220" w:type="dxa"/>
            <w:vAlign w:val="bottom"/>
          </w:tcPr>
          <w:p>
            <w:pPr>
              <w:ind w:left="660"/>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41,022,911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42,814,306</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(212,328)</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40,793,403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42,601,978</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96,697,106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84,459,798</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1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11,175,045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10,537,159</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products sold</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2,211,885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2,417,329</w:t>
            </w:r>
          </w:p>
        </w:tc>
        <w:tc>
          <w:tcPr>
            <w:tcW w:w="0" w:type="dxa"/>
            <w:vAlign w:val="bottom"/>
          </w:tcPr>
          <w:p>
            <w:pPr>
              <w:spacing w:after="0"/>
              <w:rPr>
                <w:sz w:val="1"/>
                <w:szCs w:val="1"/>
                <w:color w:val="auto"/>
              </w:rPr>
            </w:pP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4,614,429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3,787,340</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1,745,136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1,257,367</w:t>
            </w:r>
          </w:p>
        </w:tc>
        <w:tc>
          <w:tcPr>
            <w:tcW w:w="0" w:type="dxa"/>
            <w:vAlign w:val="bottom"/>
          </w:tcPr>
          <w:p>
            <w:pPr>
              <w:spacing w:after="0"/>
              <w:rPr>
                <w:sz w:val="1"/>
                <w:szCs w:val="1"/>
                <w:color w:val="auto"/>
              </w:rPr>
            </w:pPr>
          </w:p>
        </w:tc>
      </w:tr>
      <w:tr>
        <w:trPr>
          <w:trHeight w:val="229"/>
        </w:trPr>
        <w:tc>
          <w:tcPr>
            <w:tcW w:w="80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2,302,349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2,230,509</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1,593,245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1,168,914</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12,467,044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10,861,459</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(1,291,999)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(324,300)</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(119,575)</w:t>
            </w:r>
          </w:p>
        </w:tc>
        <w:tc>
          <w:tcPr>
            <w:tcW w:w="120" w:type="dxa"/>
            <w:vAlign w:val="bottom"/>
            <w:tcBorders>
              <w:bottom w:val="single" w:sz="8" w:color="BFE4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(24,417)</w:t>
            </w:r>
          </w:p>
        </w:tc>
        <w:tc>
          <w:tcPr>
            <w:tcW w:w="0" w:type="dxa"/>
            <w:vAlign w:val="bottom"/>
          </w:tcPr>
          <w:p>
            <w:pPr>
              <w:spacing w:after="0"/>
              <w:rPr>
                <w:sz w:val="1"/>
                <w:szCs w:val="1"/>
                <w:color w:val="auto"/>
              </w:rPr>
            </w:pPr>
          </w:p>
        </w:tc>
      </w:tr>
      <w:tr>
        <w:trPr>
          <w:trHeight w:val="223"/>
        </w:trPr>
        <w:tc>
          <w:tcPr>
            <w:tcW w:w="8080" w:type="dxa"/>
            <w:vAlign w:val="bottom"/>
            <w:shd w:val="clear" w:color="auto" w:fill="BFE4FF"/>
          </w:tcPr>
          <w:p>
            <w:pPr>
              <w:ind w:left="360"/>
              <w:spacing w:after="0"/>
              <w:rPr>
                <w:sz w:val="20"/>
                <w:szCs w:val="20"/>
                <w:color w:val="auto"/>
              </w:rPr>
            </w:pPr>
            <w:r>
              <w:rPr>
                <w:rFonts w:ascii="Arial" w:cs="Arial" w:eastAsia="Arial" w:hAnsi="Arial"/>
                <w:sz w:val="18"/>
                <w:szCs w:val="18"/>
                <w:color w:val="auto"/>
              </w:rPr>
              <w:t>Income (loss) from continuing operations before income taxes</w:t>
            </w:r>
          </w:p>
        </w:tc>
        <w:tc>
          <w:tcPr>
            <w:tcW w:w="240" w:type="dxa"/>
            <w:vAlign w:val="bottom"/>
            <w:shd w:val="clear" w:color="auto" w:fill="BFE4FF"/>
          </w:tcPr>
          <w:p>
            <w:pPr>
              <w:spacing w:after="0"/>
              <w:rPr>
                <w:sz w:val="19"/>
                <w:szCs w:val="19"/>
                <w:color w:val="auto"/>
              </w:rPr>
            </w:pPr>
          </w:p>
        </w:tc>
        <w:tc>
          <w:tcPr>
            <w:tcW w:w="12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(1,395,533)</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(343,291)</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(6,900)</w:t>
            </w:r>
          </w:p>
        </w:tc>
        <w:tc>
          <w:tcPr>
            <w:tcW w:w="120" w:type="dxa"/>
            <w:vAlign w:val="bottom"/>
            <w:tcBorders>
              <w:bottom w:val="single" w:sz="8" w:color="BFE4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(7,458)</w:t>
            </w:r>
          </w:p>
        </w:tc>
        <w:tc>
          <w:tcPr>
            <w:tcW w:w="0" w:type="dxa"/>
            <w:vAlign w:val="bottom"/>
          </w:tcPr>
          <w:p>
            <w:pPr>
              <w:spacing w:after="0"/>
              <w:rPr>
                <w:sz w:val="1"/>
                <w:szCs w:val="1"/>
                <w:color w:val="auto"/>
              </w:rPr>
            </w:pPr>
          </w:p>
        </w:tc>
      </w:tr>
      <w:tr>
        <w:trPr>
          <w:trHeight w:val="223"/>
        </w:trPr>
        <w:tc>
          <w:tcPr>
            <w:tcW w:w="8080" w:type="dxa"/>
            <w:vAlign w:val="bottom"/>
            <w:shd w:val="clear" w:color="auto" w:fill="BFE4FF"/>
          </w:tcPr>
          <w:p>
            <w:pPr>
              <w:ind w:left="360"/>
              <w:spacing w:after="0"/>
              <w:rPr>
                <w:sz w:val="20"/>
                <w:szCs w:val="20"/>
                <w:color w:val="auto"/>
              </w:rPr>
            </w:pPr>
            <w:r>
              <w:rPr>
                <w:rFonts w:ascii="Arial" w:cs="Arial" w:eastAsia="Arial" w:hAnsi="Arial"/>
                <w:sz w:val="18"/>
                <w:szCs w:val="18"/>
                <w:color w:val="auto"/>
              </w:rPr>
              <w:t>Net income (loss) from continuing operations</w:t>
            </w:r>
          </w:p>
        </w:tc>
        <w:tc>
          <w:tcPr>
            <w:tcW w:w="240" w:type="dxa"/>
            <w:vAlign w:val="bottom"/>
            <w:shd w:val="clear" w:color="auto" w:fill="BFE4FF"/>
          </w:tcPr>
          <w:p>
            <w:pPr>
              <w:spacing w:after="0"/>
              <w:rPr>
                <w:sz w:val="19"/>
                <w:szCs w:val="19"/>
                <w:color w:val="auto"/>
              </w:rPr>
            </w:pPr>
          </w:p>
        </w:tc>
        <w:tc>
          <w:tcPr>
            <w:tcW w:w="12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(1,402,433)</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(350,749)</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Discontinued operations</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495,410</w:t>
            </w:r>
          </w:p>
        </w:tc>
        <w:tc>
          <w:tcPr>
            <w:tcW w:w="0" w:type="dxa"/>
            <w:vAlign w:val="bottom"/>
          </w:tcPr>
          <w:p>
            <w:pPr>
              <w:spacing w:after="0"/>
              <w:rPr>
                <w:sz w:val="1"/>
                <w:szCs w:val="1"/>
                <w:color w:val="auto"/>
              </w:rPr>
            </w:pPr>
          </w:p>
        </w:tc>
      </w:tr>
      <w:tr>
        <w:trPr>
          <w:trHeight w:val="223"/>
        </w:trPr>
        <w:tc>
          <w:tcPr>
            <w:tcW w:w="8080" w:type="dxa"/>
            <w:vAlign w:val="bottom"/>
            <w:tcBorders>
              <w:top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tcBorders>
            <w:shd w:val="clear" w:color="auto" w:fill="BFE4FF"/>
          </w:tcPr>
          <w:p>
            <w:pPr>
              <w:spacing w:after="0"/>
              <w:rPr>
                <w:sz w:val="19"/>
                <w:szCs w:val="19"/>
                <w:color w:val="auto"/>
              </w:rPr>
            </w:pPr>
          </w:p>
        </w:tc>
        <w:tc>
          <w:tcPr>
            <w:tcW w:w="12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(1,402,433)</w:t>
            </w:r>
          </w:p>
        </w:tc>
        <w:tc>
          <w:tcPr>
            <w:tcW w:w="120" w:type="dxa"/>
            <w:vAlign w:val="bottom"/>
            <w:tcBorders>
              <w:top w:val="single" w:sz="8" w:color="BFE4FF"/>
            </w:tcBorders>
            <w:shd w:val="clear" w:color="auto" w:fill="BFE4FF"/>
          </w:tcPr>
          <w:p>
            <w:pPr>
              <w:spacing w:after="0"/>
              <w:rPr>
                <w:sz w:val="19"/>
                <w:szCs w:val="19"/>
                <w:color w:val="auto"/>
              </w:rPr>
            </w:pPr>
          </w:p>
        </w:tc>
        <w:tc>
          <w:tcPr>
            <w:tcW w:w="340" w:type="dxa"/>
            <w:vAlign w:val="bottom"/>
            <w:tcBorders>
              <w:top w:val="single" w:sz="8" w:color="auto"/>
            </w:tcBorders>
            <w:shd w:val="clear" w:color="auto" w:fill="BFE4FF"/>
          </w:tcPr>
          <w:p>
            <w:pPr>
              <w:spacing w:after="0"/>
              <w:rPr>
                <w:sz w:val="19"/>
                <w:szCs w:val="19"/>
                <w:color w:val="auto"/>
              </w:rPr>
            </w:pPr>
          </w:p>
        </w:tc>
        <w:tc>
          <w:tcPr>
            <w:tcW w:w="11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144,661</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Net (income) loss at subsidiary attributable to noncontrolling interests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17,180</w:t>
            </w:r>
          </w:p>
        </w:tc>
        <w:tc>
          <w:tcPr>
            <w:tcW w:w="120" w:type="dxa"/>
            <w:vAlign w:val="bottom"/>
            <w:tcBorders>
              <w:bottom w:val="single" w:sz="8" w:color="BFE4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22,167</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Net income (loss) attributable to common shareholders</w:t>
            </w:r>
          </w:p>
        </w:tc>
        <w:tc>
          <w:tcPr>
            <w:tcW w:w="240" w:type="dxa"/>
            <w:vAlign w:val="bottom"/>
            <w:tcBorders>
              <w:bottom w:val="single" w:sz="8" w:color="auto"/>
            </w:tcBorders>
            <w:shd w:val="clear" w:color="auto" w:fill="BFE4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(1,385,253)</w:t>
            </w:r>
          </w:p>
        </w:tc>
        <w:tc>
          <w:tcPr>
            <w:tcW w:w="12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auto"/>
            </w:tcBorders>
            <w:shd w:val="clear" w:color="auto" w:fill="BFE4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166,828</w:t>
            </w:r>
          </w:p>
        </w:tc>
        <w:tc>
          <w:tcPr>
            <w:tcW w:w="0" w:type="dxa"/>
            <w:vAlign w:val="bottom"/>
          </w:tcPr>
          <w:p>
            <w:pPr>
              <w:spacing w:after="0"/>
              <w:rPr>
                <w:sz w:val="1"/>
                <w:szCs w:val="1"/>
                <w:color w:val="auto"/>
              </w:rPr>
            </w:pPr>
          </w:p>
        </w:tc>
      </w:tr>
      <w:tr>
        <w:trPr>
          <w:trHeight w:val="20"/>
        </w:trPr>
        <w:tc>
          <w:tcPr>
            <w:tcW w:w="8080" w:type="dxa"/>
            <w:vAlign w:val="bottom"/>
            <w:tcBorders>
              <w:top w:val="single" w:sz="8" w:color="BFE4FF"/>
              <w:bottom w:val="single" w:sz="8" w:color="BFE4FF"/>
            </w:tcBorders>
            <w:vMerge w:val="restart"/>
          </w:tcPr>
          <w:p>
            <w:pPr>
              <w:ind w:left="20"/>
              <w:spacing w:after="0"/>
              <w:rPr>
                <w:sz w:val="20"/>
                <w:szCs w:val="20"/>
                <w:color w:val="auto"/>
              </w:rPr>
            </w:pPr>
            <w:r>
              <w:rPr>
                <w:rFonts w:ascii="Arial" w:cs="Arial" w:eastAsia="Arial" w:hAnsi="Arial"/>
                <w:sz w:val="18"/>
                <w:szCs w:val="18"/>
                <w:color w:val="auto"/>
              </w:rPr>
              <w:t>Earnings (loss) per share attributable to common shareholders</w:t>
            </w:r>
          </w:p>
        </w:tc>
        <w:tc>
          <w:tcPr>
            <w:tcW w:w="240" w:type="dxa"/>
            <w:vAlign w:val="bottom"/>
            <w:tcBorders>
              <w:top w:val="single" w:sz="8" w:color="BFE4FF"/>
              <w:bottom w:val="single" w:sz="8" w:color="auto"/>
            </w:tcBorders>
          </w:tcPr>
          <w:p>
            <w:pPr>
              <w:spacing w:after="0" w:line="20" w:lineRule="exact"/>
              <w:rPr>
                <w:sz w:val="1"/>
                <w:szCs w:val="1"/>
                <w:color w:val="auto"/>
              </w:rPr>
            </w:pPr>
          </w:p>
        </w:tc>
        <w:tc>
          <w:tcPr>
            <w:tcW w:w="128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bottom w:val="single" w:sz="8" w:color="auto"/>
            </w:tcBorders>
          </w:tcPr>
          <w:p>
            <w:pPr>
              <w:spacing w:after="0" w:line="20" w:lineRule="exact"/>
              <w:rPr>
                <w:sz w:val="1"/>
                <w:szCs w:val="1"/>
                <w:color w:val="auto"/>
              </w:rPr>
            </w:pPr>
          </w:p>
        </w:tc>
        <w:tc>
          <w:tcPr>
            <w:tcW w:w="118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BFE4FF"/>
          </w:tcPr>
          <w:p>
            <w:pPr>
              <w:ind w:left="360"/>
              <w:spacing w:after="0"/>
              <w:rPr>
                <w:sz w:val="20"/>
                <w:szCs w:val="20"/>
                <w:color w:val="auto"/>
              </w:rPr>
            </w:pPr>
            <w:r>
              <w:rPr>
                <w:rFonts w:ascii="Arial" w:cs="Arial" w:eastAsia="Arial" w:hAnsi="Arial"/>
                <w:sz w:val="18"/>
                <w:szCs w:val="18"/>
                <w:color w:val="auto"/>
              </w:rPr>
              <w:t>- Continuing operations - basic</w:t>
            </w:r>
          </w:p>
        </w:tc>
        <w:tc>
          <w:tcPr>
            <w:tcW w:w="240" w:type="dxa"/>
            <w:vAlign w:val="bottom"/>
            <w:shd w:val="clear" w:color="auto" w:fill="BFE4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9"/>
        </w:trPr>
        <w:tc>
          <w:tcPr>
            <w:tcW w:w="8080" w:type="dxa"/>
            <w:vAlign w:val="bottom"/>
          </w:tcPr>
          <w:p>
            <w:pPr>
              <w:ind w:left="360"/>
              <w:spacing w:after="0"/>
              <w:rPr>
                <w:sz w:val="20"/>
                <w:szCs w:val="20"/>
                <w:color w:val="auto"/>
              </w:rPr>
            </w:pPr>
            <w:r>
              <w:rPr>
                <w:rFonts w:ascii="Arial" w:cs="Arial" w:eastAsia="Arial" w:hAnsi="Arial"/>
                <w:sz w:val="18"/>
                <w:szCs w:val="18"/>
                <w:color w:val="auto"/>
              </w:rPr>
              <w:t>- Discontinued operations - basic</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8080" w:type="dxa"/>
            <w:vAlign w:val="bottom"/>
            <w:tcBorders>
              <w:top w:val="single" w:sz="8" w:color="BFE4FF"/>
            </w:tcBorders>
            <w:shd w:val="clear" w:color="auto" w:fill="BFE4FF"/>
          </w:tcPr>
          <w:p>
            <w:pPr>
              <w:spacing w:after="0"/>
              <w:rPr>
                <w:sz w:val="19"/>
                <w:szCs w:val="19"/>
                <w:color w:val="auto"/>
              </w:rPr>
            </w:pPr>
          </w:p>
        </w:tc>
        <w:tc>
          <w:tcPr>
            <w:tcW w:w="240" w:type="dxa"/>
            <w:vAlign w:val="bottom"/>
            <w:tcBorders>
              <w:top w:val="single" w:sz="8" w:color="auto"/>
            </w:tcBorders>
            <w:shd w:val="clear" w:color="auto" w:fill="BFE4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top w:val="single" w:sz="8" w:color="BFE4FF"/>
            </w:tcBorders>
            <w:shd w:val="clear" w:color="auto" w:fill="BFE4FF"/>
          </w:tcPr>
          <w:p>
            <w:pPr>
              <w:spacing w:after="0"/>
              <w:rPr>
                <w:sz w:val="19"/>
                <w:szCs w:val="19"/>
                <w:color w:val="auto"/>
              </w:rPr>
            </w:pPr>
          </w:p>
        </w:tc>
        <w:tc>
          <w:tcPr>
            <w:tcW w:w="340" w:type="dxa"/>
            <w:vAlign w:val="bottom"/>
            <w:tcBorders>
              <w:top w:val="single" w:sz="8" w:color="auto"/>
            </w:tcBorders>
            <w:shd w:val="clear" w:color="auto" w:fill="BFE4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080" w:type="dxa"/>
            <w:vAlign w:val="bottom"/>
            <w:shd w:val="clear" w:color="auto" w:fill="BFE4FF"/>
          </w:tcPr>
          <w:p>
            <w:pPr>
              <w:ind w:left="360"/>
              <w:spacing w:after="0"/>
              <w:rPr>
                <w:sz w:val="20"/>
                <w:szCs w:val="20"/>
                <w:color w:val="auto"/>
              </w:rPr>
            </w:pPr>
            <w:r>
              <w:rPr>
                <w:rFonts w:ascii="Arial" w:cs="Arial" w:eastAsia="Arial" w:hAnsi="Arial"/>
                <w:sz w:val="18"/>
                <w:szCs w:val="18"/>
                <w:color w:val="auto"/>
              </w:rPr>
              <w:t>- Continuing operations - diluted</w:t>
            </w:r>
          </w:p>
        </w:tc>
        <w:tc>
          <w:tcPr>
            <w:tcW w:w="240" w:type="dxa"/>
            <w:vAlign w:val="bottom"/>
            <w:shd w:val="clear" w:color="auto" w:fill="BFE4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rPr>
              <w:t>- Discontinued operations - diluted</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8080" w:type="dxa"/>
            <w:vAlign w:val="bottom"/>
            <w:tcBorders>
              <w:top w:val="single" w:sz="8" w:color="BFE4FF"/>
            </w:tcBorders>
            <w:shd w:val="clear" w:color="auto" w:fill="BFE4FF"/>
          </w:tcPr>
          <w:p>
            <w:pPr>
              <w:spacing w:after="0"/>
              <w:rPr>
                <w:sz w:val="19"/>
                <w:szCs w:val="19"/>
                <w:color w:val="auto"/>
              </w:rPr>
            </w:pPr>
          </w:p>
        </w:tc>
        <w:tc>
          <w:tcPr>
            <w:tcW w:w="240" w:type="dxa"/>
            <w:vAlign w:val="bottom"/>
            <w:tcBorders>
              <w:top w:val="single" w:sz="8" w:color="auto"/>
            </w:tcBorders>
            <w:shd w:val="clear" w:color="auto" w:fill="BFE4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top w:val="single" w:sz="8" w:color="BFE4FF"/>
            </w:tcBorders>
            <w:shd w:val="clear" w:color="auto" w:fill="BFE4FF"/>
          </w:tcPr>
          <w:p>
            <w:pPr>
              <w:spacing w:after="0"/>
              <w:rPr>
                <w:sz w:val="19"/>
                <w:szCs w:val="19"/>
                <w:color w:val="auto"/>
              </w:rPr>
            </w:pPr>
          </w:p>
        </w:tc>
        <w:tc>
          <w:tcPr>
            <w:tcW w:w="340" w:type="dxa"/>
            <w:vAlign w:val="bottom"/>
            <w:tcBorders>
              <w:top w:val="single" w:sz="8" w:color="auto"/>
            </w:tcBorders>
            <w:shd w:val="clear" w:color="auto" w:fill="BFE4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Weighted-average shares outstanding</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BFE4FF"/>
          </w:tcPr>
          <w:p>
            <w:pPr>
              <w:ind w:left="360"/>
              <w:spacing w:after="0"/>
              <w:rPr>
                <w:sz w:val="20"/>
                <w:szCs w:val="20"/>
                <w:color w:val="auto"/>
              </w:rPr>
            </w:pPr>
            <w:r>
              <w:rPr>
                <w:rFonts w:ascii="Arial" w:cs="Arial" w:eastAsia="Arial" w:hAnsi="Arial"/>
                <w:sz w:val="18"/>
                <w:szCs w:val="18"/>
                <w:color w:val="auto"/>
              </w:rPr>
              <w:t>- basic</w:t>
            </w:r>
          </w:p>
        </w:tc>
        <w:tc>
          <w:tcPr>
            <w:tcW w:w="240" w:type="dxa"/>
            <w:vAlign w:val="bottom"/>
            <w:shd w:val="clear" w:color="auto" w:fill="BFE4FF"/>
          </w:tcPr>
          <w:p>
            <w:pPr>
              <w:spacing w:after="0"/>
              <w:rPr>
                <w:sz w:val="19"/>
                <w:szCs w:val="19"/>
                <w:color w:val="auto"/>
              </w:rPr>
            </w:pPr>
          </w:p>
        </w:tc>
        <w:tc>
          <w:tcPr>
            <w:tcW w:w="12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14,691,623</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14,974,663</w:t>
            </w:r>
          </w:p>
        </w:tc>
        <w:tc>
          <w:tcPr>
            <w:tcW w:w="0" w:type="dxa"/>
            <w:vAlign w:val="bottom"/>
          </w:tcPr>
          <w:p>
            <w:pPr>
              <w:spacing w:after="0"/>
              <w:rPr>
                <w:sz w:val="1"/>
                <w:szCs w:val="1"/>
                <w:color w:val="auto"/>
              </w:rPr>
            </w:pP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rPr>
              <w:t>- diluted</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14,691,623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15,244,146</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4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(1,402,433)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144,661</w:t>
            </w: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4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495,410</w:t>
            </w:r>
          </w:p>
        </w:tc>
      </w:tr>
      <w:tr>
        <w:trPr>
          <w:trHeight w:val="223"/>
        </w:trPr>
        <w:tc>
          <w:tcPr>
            <w:tcW w:w="7400" w:type="dxa"/>
            <w:vAlign w:val="bottom"/>
          </w:tcPr>
          <w:p>
            <w:pPr>
              <w:ind w:left="360"/>
              <w:spacing w:after="0"/>
              <w:rPr>
                <w:sz w:val="20"/>
                <w:szCs w:val="20"/>
                <w:color w:val="auto"/>
              </w:rPr>
            </w:pPr>
            <w:r>
              <w:rPr>
                <w:rFonts w:ascii="Arial" w:cs="Arial" w:eastAsia="Arial" w:hAnsi="Arial"/>
                <w:sz w:val="18"/>
                <w:szCs w:val="18"/>
                <w:color w:val="auto"/>
              </w:rPr>
              <w:t>Net income(loss) from continuing operations</w:t>
            </w:r>
          </w:p>
        </w:tc>
        <w:tc>
          <w:tcPr>
            <w:tcW w:w="4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(1,402,433)</w:t>
            </w:r>
          </w:p>
        </w:tc>
        <w:tc>
          <w:tcPr>
            <w:tcW w:w="100" w:type="dxa"/>
            <w:vAlign w:val="bottom"/>
          </w:tcPr>
          <w:p>
            <w:pPr>
              <w:spacing w:after="0"/>
              <w:rPr>
                <w:sz w:val="19"/>
                <w:szCs w:val="19"/>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(350,749)</w:t>
            </w:r>
          </w:p>
        </w:tc>
      </w:tr>
      <w:tr>
        <w:trPr>
          <w:trHeight w:val="175"/>
        </w:trPr>
        <w:tc>
          <w:tcPr>
            <w:tcW w:w="74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Adjustments to reconcile net income (loss) from continuing operations to net cash provided by</w:t>
            </w:r>
          </w:p>
        </w:tc>
        <w:tc>
          <w:tcPr>
            <w:tcW w:w="4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(used in) operating activities: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400" w:type="dxa"/>
            <w:vAlign w:val="bottom"/>
          </w:tcPr>
          <w:p>
            <w:pPr>
              <w:ind w:left="680"/>
              <w:spacing w:after="0"/>
              <w:rPr>
                <w:sz w:val="20"/>
                <w:szCs w:val="20"/>
                <w:color w:val="auto"/>
              </w:rPr>
            </w:pPr>
            <w:r>
              <w:rPr>
                <w:rFonts w:ascii="Arial" w:cs="Arial" w:eastAsia="Arial" w:hAnsi="Arial"/>
                <w:sz w:val="18"/>
                <w:szCs w:val="18"/>
                <w:color w:val="auto"/>
              </w:rPr>
              <w:t>Depreciation and amortization expense</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1,653,746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1,227,607</w:t>
            </w: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Share-based compensation</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162,960</w:t>
            </w: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Decrease in non-cash contingent consideration</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370,464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(280,020)</w:t>
            </w: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3"/>
              </w:rPr>
              <w:t>Decrease (increase) in cash surrender value of life insurance policies over premiums paid</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(76,300)</w:t>
            </w: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Noncash interest expense</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13,833</w:t>
            </w: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changes in assets and liabilities affecting operating activities: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400" w:type="dxa"/>
            <w:vAlign w:val="bottom"/>
          </w:tcPr>
          <w:p>
            <w:pPr>
              <w:ind w:left="112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(7,758,089)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(171,584)</w:t>
            </w:r>
          </w:p>
        </w:tc>
      </w:tr>
      <w:tr>
        <w:trPr>
          <w:trHeight w:val="230"/>
        </w:trPr>
        <w:tc>
          <w:tcPr>
            <w:tcW w:w="7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2,271,484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1,868,350</w:t>
            </w:r>
          </w:p>
        </w:tc>
      </w:tr>
      <w:tr>
        <w:trPr>
          <w:trHeight w:val="229"/>
        </w:trPr>
        <w:tc>
          <w:tcPr>
            <w:tcW w:w="7400" w:type="dxa"/>
            <w:vAlign w:val="bottom"/>
          </w:tcPr>
          <w:p>
            <w:pPr>
              <w:ind w:left="1120"/>
              <w:spacing w:after="0"/>
              <w:rPr>
                <w:sz w:val="20"/>
                <w:szCs w:val="20"/>
                <w:color w:val="auto"/>
              </w:rPr>
            </w:pPr>
            <w:r>
              <w:rPr>
                <w:rFonts w:ascii="Arial" w:cs="Arial" w:eastAsia="Arial" w:hAnsi="Arial"/>
                <w:sz w:val="18"/>
                <w:szCs w:val="18"/>
                <w:color w:val="auto"/>
              </w:rPr>
              <w:t>Other current assets and other assets</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239,862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507,102</w:t>
            </w:r>
          </w:p>
        </w:tc>
      </w:tr>
      <w:tr>
        <w:trPr>
          <w:trHeight w:val="229"/>
        </w:trPr>
        <w:tc>
          <w:tcPr>
            <w:tcW w:w="7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payable and other current liabilities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4,461,389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(1,311,123)</w:t>
            </w:r>
          </w:p>
        </w:tc>
      </w:tr>
      <w:tr>
        <w:trPr>
          <w:trHeight w:val="230"/>
        </w:trPr>
        <w:tc>
          <w:tcPr>
            <w:tcW w:w="740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Other long-term liabilities</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(371,214)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(299,937)</w:t>
            </w:r>
          </w:p>
        </w:tc>
      </w:tr>
      <w:tr>
        <w:trPr>
          <w:trHeight w:val="223"/>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1,290,139</w:t>
            </w: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Discontinued operations</w:t>
            </w:r>
          </w:p>
        </w:tc>
        <w:tc>
          <w:tcPr>
            <w:tcW w:w="4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495,410</w:t>
            </w:r>
          </w:p>
        </w:tc>
      </w:tr>
      <w:tr>
        <w:trPr>
          <w:trHeight w:val="223"/>
        </w:trPr>
        <w:tc>
          <w:tcPr>
            <w:tcW w:w="74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(used in) operating activities</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(150,498)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1,785,549</w:t>
            </w:r>
          </w:p>
        </w:tc>
      </w:tr>
      <w:tr>
        <w:trPr>
          <w:trHeight w:val="210"/>
        </w:trPr>
        <w:tc>
          <w:tcPr>
            <w:tcW w:w="740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Additions to property and equipment</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(19,458)</w:t>
            </w: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Note receivable investment funding</w:t>
            </w:r>
          </w:p>
        </w:tc>
        <w:tc>
          <w:tcPr>
            <w:tcW w:w="4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30"/>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paid for acquisitions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Additions to intangibles</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(98,883)</w:t>
            </w:r>
          </w:p>
        </w:tc>
      </w:tr>
      <w:tr>
        <w:trPr>
          <w:trHeight w:val="223"/>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(13,541,898)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(318,341)</w:t>
            </w:r>
          </w:p>
        </w:tc>
      </w:tr>
      <w:tr>
        <w:trPr>
          <w:trHeight w:val="209"/>
        </w:trPr>
        <w:tc>
          <w:tcPr>
            <w:tcW w:w="74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Borrowings on line of credit</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Repayments on line of credit</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(15,000,000)</w:t>
            </w:r>
          </w:p>
        </w:tc>
      </w:tr>
      <w:tr>
        <w:trPr>
          <w:trHeight w:val="230"/>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payment of contingent consideration</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(995,277)</w:t>
            </w:r>
          </w:p>
        </w:tc>
      </w:tr>
      <w:tr>
        <w:trPr>
          <w:trHeight w:val="229"/>
        </w:trPr>
        <w:tc>
          <w:tcPr>
            <w:tcW w:w="7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Repurchase of common shares</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(580,130)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(302,802)</w:t>
            </w:r>
          </w:p>
        </w:tc>
      </w:tr>
      <w:tr>
        <w:trPr>
          <w:trHeight w:val="223"/>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3,918,365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(1,298,079)</w:t>
            </w:r>
          </w:p>
        </w:tc>
      </w:tr>
      <w:tr>
        <w:trPr>
          <w:trHeight w:val="223"/>
        </w:trPr>
        <w:tc>
          <w:tcPr>
            <w:tcW w:w="740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(9,774,031)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169,129</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27,040,816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24,753,796</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17,266,785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24,922,925</w:t>
            </w:r>
          </w:p>
        </w:tc>
      </w:tr>
      <w:tr>
        <w:trPr>
          <w:trHeight w:val="20"/>
        </w:trPr>
        <w:tc>
          <w:tcPr>
            <w:tcW w:w="7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20" w:top="891" w:right="379" w:bottom="1440" w:gutter="0" w:footer="0" w:header="0"/>
        </w:sectPr>
      </w:pPr>
    </w:p>
    <w:bookmarkStart w:id="12" w:name="page13"/>
    <w:bookmarkEnd w:id="12"/>
    <w:p>
      <w:pPr>
        <w:ind w:left="2400"/>
        <w:spacing w:after="0"/>
        <w:rPr>
          <w:sz w:val="20"/>
          <w:szCs w:val="20"/>
          <w:color w:val="auto"/>
        </w:rPr>
      </w:pPr>
      <w:r>
        <w:rPr>
          <w:rFonts w:ascii="Arial" w:cs="Arial" w:eastAsia="Arial" w:hAnsi="Arial"/>
          <w:sz w:val="22"/>
          <w:szCs w:val="22"/>
          <w:b w:val="1"/>
          <w:bCs w:val="1"/>
          <w:color w:val="auto"/>
        </w:rPr>
        <w:t>CUMBERLAND PHARMACEUTICALS INC. AND SUBSIDIARIES</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9"/>
          <w:szCs w:val="19"/>
          <w:color w:val="auto"/>
        </w:rPr>
        <w:t>Reconciliation of Net Income (loss) Attributable to Common Shareholders to Adjusted Earnings (loss) and Adjusted Diluted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Earnings (loss) Per Share</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8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0"/>
              </w:rPr>
              <w:t>Three months ended March 31, 2022</w:t>
            </w:r>
          </w:p>
        </w:tc>
        <w:tc>
          <w:tcPr>
            <w:tcW w:w="180" w:type="dxa"/>
            <w:vAlign w:val="bottom"/>
          </w:tcPr>
          <w:p>
            <w:pPr>
              <w:spacing w:after="0"/>
              <w:rPr>
                <w:sz w:val="20"/>
                <w:szCs w:val="20"/>
                <w:color w:val="auto"/>
              </w:rPr>
            </w:pPr>
          </w:p>
        </w:tc>
        <w:tc>
          <w:tcPr>
            <w:tcW w:w="28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0"/>
              </w:rPr>
              <w:t>Three months ended March 31, 2021</w:t>
            </w:r>
          </w:p>
        </w:tc>
        <w:tc>
          <w:tcPr>
            <w:tcW w:w="0" w:type="dxa"/>
            <w:vAlign w:val="bottom"/>
          </w:tcPr>
          <w:p>
            <w:pPr>
              <w:spacing w:after="0"/>
              <w:rPr>
                <w:sz w:val="1"/>
                <w:szCs w:val="1"/>
                <w:color w:val="auto"/>
              </w:rPr>
            </w:pPr>
          </w:p>
        </w:tc>
      </w:tr>
      <w:tr>
        <w:trPr>
          <w:trHeight w:val="222"/>
        </w:trPr>
        <w:tc>
          <w:tcPr>
            <w:tcW w:w="5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1460" w:type="dxa"/>
            <w:vAlign w:val="bottom"/>
            <w:gridSpan w:val="3"/>
            <w:vMerge w:val="restart"/>
          </w:tcPr>
          <w:p>
            <w:pPr>
              <w:ind w:left="80"/>
              <w:spacing w:after="0"/>
              <w:rPr>
                <w:sz w:val="20"/>
                <w:szCs w:val="20"/>
                <w:color w:val="auto"/>
              </w:rPr>
            </w:pPr>
            <w:r>
              <w:rPr>
                <w:rFonts w:ascii="Arial" w:cs="Arial" w:eastAsia="Arial" w:hAnsi="Arial"/>
                <w:sz w:val="18"/>
                <w:szCs w:val="18"/>
                <w:color w:val="auto"/>
              </w:rPr>
              <w:t>Earnings impact</w:t>
            </w:r>
          </w:p>
        </w:tc>
        <w:tc>
          <w:tcPr>
            <w:tcW w:w="13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88"/>
              </w:rPr>
              <w:t>Earnings per share</w:t>
            </w:r>
          </w:p>
        </w:tc>
        <w:tc>
          <w:tcPr>
            <w:tcW w:w="180" w:type="dxa"/>
            <w:vAlign w:val="bottom"/>
          </w:tcPr>
          <w:p>
            <w:pPr>
              <w:spacing w:after="0"/>
              <w:rPr>
                <w:sz w:val="15"/>
                <w:szCs w:val="15"/>
                <w:color w:val="auto"/>
              </w:rPr>
            </w:pPr>
          </w:p>
        </w:tc>
        <w:tc>
          <w:tcPr>
            <w:tcW w:w="1500" w:type="dxa"/>
            <w:vAlign w:val="bottom"/>
            <w:gridSpan w:val="3"/>
            <w:vMerge w:val="restart"/>
          </w:tcPr>
          <w:p>
            <w:pPr>
              <w:ind w:left="100"/>
              <w:spacing w:after="0"/>
              <w:rPr>
                <w:sz w:val="20"/>
                <w:szCs w:val="20"/>
                <w:color w:val="auto"/>
              </w:rPr>
            </w:pPr>
            <w:r>
              <w:rPr>
                <w:rFonts w:ascii="Arial" w:cs="Arial" w:eastAsia="Arial" w:hAnsi="Arial"/>
                <w:sz w:val="18"/>
                <w:szCs w:val="18"/>
                <w:color w:val="auto"/>
              </w:rPr>
              <w:t>Earnings impact</w:t>
            </w:r>
          </w:p>
        </w:tc>
        <w:tc>
          <w:tcPr>
            <w:tcW w:w="13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88"/>
              </w:rPr>
              <w:t>Earnings per share</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color w:val="auto"/>
              </w:rPr>
              <w:t>impact</w:t>
            </w:r>
          </w:p>
        </w:tc>
        <w:tc>
          <w:tcPr>
            <w:tcW w:w="18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color w:val="auto"/>
              </w:rPr>
              <w:t>impact</w:t>
            </w:r>
          </w:p>
        </w:tc>
        <w:tc>
          <w:tcPr>
            <w:tcW w:w="0" w:type="dxa"/>
            <w:vAlign w:val="bottom"/>
          </w:tcPr>
          <w:p>
            <w:pPr>
              <w:spacing w:after="0"/>
              <w:rPr>
                <w:sz w:val="1"/>
                <w:szCs w:val="1"/>
                <w:color w:val="auto"/>
              </w:rPr>
            </w:pPr>
          </w:p>
        </w:tc>
      </w:tr>
      <w:tr>
        <w:trPr>
          <w:trHeight w:val="94"/>
        </w:trPr>
        <w:tc>
          <w:tcPr>
            <w:tcW w:w="5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(1,385,253)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76"/>
        </w:trPr>
        <w:tc>
          <w:tcPr>
            <w:tcW w:w="5300" w:type="dxa"/>
            <w:vAlign w:val="bottom"/>
          </w:tcPr>
          <w:p>
            <w:pPr>
              <w:ind w:left="20"/>
              <w:spacing w:after="0" w:line="176" w:lineRule="exact"/>
              <w:rPr>
                <w:sz w:val="20"/>
                <w:szCs w:val="20"/>
                <w:color w:val="auto"/>
              </w:rPr>
            </w:pPr>
            <w:r>
              <w:rPr>
                <w:rFonts w:ascii="Arial" w:cs="Arial" w:eastAsia="Arial" w:hAnsi="Arial"/>
                <w:sz w:val="18"/>
                <w:szCs w:val="18"/>
                <w:color w:val="auto"/>
              </w:rPr>
              <w:t>Less: Net (income) loss at subsidiary attributable to noncontrolling</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17,180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22,167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(1,402,433)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495,410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(1,402,433)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(350,749)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Adjustments to net income (loss) from continuing operations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 (benefit)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1,653,746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1,227,607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(a)</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530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2"/>
              </w:rPr>
              <w:t>Adjusted Earnings (loss) from continuing operations and Adjusted</w:t>
            </w:r>
          </w:p>
        </w:tc>
        <w:tc>
          <w:tcPr>
            <w:tcW w:w="3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521,648</w:t>
            </w:r>
          </w:p>
        </w:tc>
        <w:tc>
          <w:tcPr>
            <w:tcW w:w="100" w:type="dxa"/>
            <w:vAlign w:val="bottom"/>
          </w:tcPr>
          <w:p>
            <w:pPr>
              <w:spacing w:after="0"/>
              <w:rPr>
                <w:sz w:val="13"/>
                <w:szCs w:val="13"/>
                <w:color w:val="auto"/>
              </w:rPr>
            </w:pPr>
          </w:p>
        </w:tc>
        <w:tc>
          <w:tcPr>
            <w:tcW w:w="2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48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1,066,267</w:t>
            </w:r>
          </w:p>
        </w:tc>
        <w:tc>
          <w:tcPr>
            <w:tcW w:w="120" w:type="dxa"/>
            <w:vAlign w:val="bottom"/>
          </w:tcPr>
          <w:p>
            <w:pPr>
              <w:spacing w:after="0"/>
              <w:rPr>
                <w:sz w:val="13"/>
                <w:szCs w:val="13"/>
                <w:color w:val="auto"/>
              </w:rPr>
            </w:pPr>
          </w:p>
        </w:tc>
        <w:tc>
          <w:tcPr>
            <w:tcW w:w="2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3"/>
        </w:trPr>
        <w:tc>
          <w:tcPr>
            <w:tcW w:w="53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Diluted Earnings (loss) from continuing operations Per Share</w:t>
            </w:r>
          </w:p>
        </w:tc>
        <w:tc>
          <w:tcPr>
            <w:tcW w:w="3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3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15,038,148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15,244,146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Company provided the above adjusted supplemental financial performance measures, which are considered "non-GAAP" financial measures under applicable SEC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Because these supplemental financial measures exclude the effect of items that will increase or decrease the Company's reported results of operations, management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sectPr>
          <w:pgSz w:w="11900" w:h="16838" w:orient="portrait"/>
          <w:cols w:equalWidth="0" w:num="1">
            <w:col w:w="11240"/>
          </w:cols>
          <w:pgMar w:left="320" w:top="963" w:right="339" w:bottom="1440" w:gutter="0" w:footer="0" w:header="0"/>
        </w:sectPr>
      </w:pPr>
    </w:p>
    <w:bookmarkStart w:id="13" w:name="page14"/>
    <w:bookmarkEnd w:id="13"/>
    <w:p>
      <w:pPr>
        <w:jc w:val="both"/>
        <w:spacing w:after="0" w:line="288" w:lineRule="auto"/>
        <w:rPr>
          <w:sz w:val="20"/>
          <w:szCs w:val="20"/>
          <w:color w:val="auto"/>
        </w:rPr>
      </w:pPr>
      <w:r>
        <w:rPr>
          <w:rFonts w:ascii="Arial" w:cs="Arial" w:eastAsia="Arial" w:hAnsi="Arial"/>
          <w:sz w:val="19"/>
          <w:szCs w:val="19"/>
          <w:color w:val="auto"/>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share-based compensation expense and income taxes. Cumberland utilizes its net operating loss carryforwards to pay minimal income taxes. In addition, the use of these financial measures provides greater transparency to investors of supplemental information used by management in its financial and operational decision-making, including the evaluation of the Company's operating performance.</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The Company defines these supplemental financial measures as follows:</w:t>
      </w:r>
    </w:p>
    <w:p>
      <w:pPr>
        <w:spacing w:after="0" w:line="92" w:lineRule="exact"/>
        <w:rPr>
          <w:sz w:val="20"/>
          <w:szCs w:val="20"/>
          <w:color w:val="auto"/>
        </w:rPr>
      </w:pPr>
    </w:p>
    <w:p>
      <w:pPr>
        <w:ind w:left="660" w:hanging="328"/>
        <w:spacing w:after="0" w:line="293" w:lineRule="auto"/>
        <w:tabs>
          <w:tab w:leader="none" w:pos="655" w:val="left"/>
        </w:tabs>
        <w:numPr>
          <w:ilvl w:val="0"/>
          <w:numId w:val="5"/>
        </w:numPr>
        <w:rPr>
          <w:rFonts w:ascii="Arial" w:cs="Arial" w:eastAsia="Arial" w:hAnsi="Arial"/>
          <w:sz w:val="21"/>
          <w:szCs w:val="21"/>
          <w:color w:val="auto"/>
        </w:rPr>
      </w:pPr>
      <w:r>
        <w:rPr>
          <w:rFonts w:ascii="Arial" w:cs="Arial" w:eastAsia="Arial" w:hAnsi="Arial"/>
          <w:sz w:val="21"/>
          <w:szCs w:val="21"/>
          <w:b w:val="1"/>
          <w:bCs w:val="1"/>
          <w:color w:val="auto"/>
        </w:rPr>
        <w:t xml:space="preserve">Adjusted Earnings (loss): </w:t>
      </w:r>
      <w:r>
        <w:rPr>
          <w:rFonts w:ascii="Arial" w:cs="Arial" w:eastAsia="Arial" w:hAnsi="Arial"/>
          <w:sz w:val="21"/>
          <w:szCs w:val="21"/>
          <w:color w:val="auto"/>
        </w:rPr>
        <w:t>net income (loss) adjusted for the impact of discontinued operations, income taxes,</w:t>
      </w:r>
      <w:r>
        <w:rPr>
          <w:rFonts w:ascii="Arial" w:cs="Arial" w:eastAsia="Arial" w:hAnsi="Arial"/>
          <w:sz w:val="21"/>
          <w:szCs w:val="21"/>
          <w:b w:val="1"/>
          <w:bCs w:val="1"/>
          <w:color w:val="auto"/>
        </w:rPr>
        <w:t xml:space="preserve"> </w:t>
      </w:r>
      <w:r>
        <w:rPr>
          <w:rFonts w:ascii="Arial" w:cs="Arial" w:eastAsia="Arial" w:hAnsi="Arial"/>
          <w:sz w:val="21"/>
          <w:szCs w:val="21"/>
          <w:color w:val="auto"/>
        </w:rPr>
        <w:t>depreciation and amortization expense, share-based compensation and interest income and interest expense.</w:t>
      </w:r>
    </w:p>
    <w:p>
      <w:pPr>
        <w:spacing w:after="0" w:line="172" w:lineRule="exact"/>
        <w:rPr>
          <w:rFonts w:ascii="Arial" w:cs="Arial" w:eastAsia="Arial" w:hAnsi="Arial"/>
          <w:sz w:val="21"/>
          <w:szCs w:val="21"/>
          <w:color w:val="auto"/>
        </w:rPr>
      </w:pPr>
    </w:p>
    <w:p>
      <w:pPr>
        <w:ind w:left="1160" w:hanging="288"/>
        <w:spacing w:after="0"/>
        <w:tabs>
          <w:tab w:leader="none" w:pos="1160" w:val="left"/>
        </w:tabs>
        <w:numPr>
          <w:ilvl w:val="1"/>
          <w:numId w:val="5"/>
        </w:numPr>
        <w:rPr>
          <w:rFonts w:ascii="Arial" w:cs="Arial" w:eastAsia="Arial" w:hAnsi="Arial"/>
          <w:sz w:val="22"/>
          <w:szCs w:val="22"/>
          <w:color w:val="auto"/>
        </w:rPr>
      </w:pPr>
      <w:r>
        <w:rPr>
          <w:rFonts w:ascii="Arial" w:cs="Arial" w:eastAsia="Arial" w:hAnsi="Arial"/>
          <w:sz w:val="22"/>
          <w:szCs w:val="22"/>
          <w:color w:val="auto"/>
        </w:rPr>
        <w:t>Represents the share-based compensation of Cumberland.</w:t>
      </w:r>
    </w:p>
    <w:p>
      <w:pPr>
        <w:spacing w:after="0" w:line="254" w:lineRule="exact"/>
        <w:rPr>
          <w:rFonts w:ascii="Arial" w:cs="Arial" w:eastAsia="Arial" w:hAnsi="Arial"/>
          <w:sz w:val="22"/>
          <w:szCs w:val="22"/>
          <w:color w:val="auto"/>
        </w:rPr>
      </w:pPr>
    </w:p>
    <w:p>
      <w:pPr>
        <w:ind w:left="660" w:hanging="328"/>
        <w:spacing w:after="0" w:line="269" w:lineRule="auto"/>
        <w:tabs>
          <w:tab w:leader="none" w:pos="655"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Adjusted Diluted Earnings (loss) Per Share: </w:t>
      </w:r>
      <w:r>
        <w:rPr>
          <w:rFonts w:ascii="Arial" w:cs="Arial" w:eastAsia="Arial" w:hAnsi="Arial"/>
          <w:sz w:val="22"/>
          <w:szCs w:val="22"/>
          <w:color w:val="auto"/>
        </w:rPr>
        <w:t>Adjusted Earnings (loss) divided by diluted weighted-average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outstanding.</w:t>
      </w:r>
    </w:p>
    <w:sectPr>
      <w:pgSz w:w="11900" w:h="16838" w:orient="portrait"/>
      <w:cols w:equalWidth="0" w:num="1">
        <w:col w:w="11240"/>
      </w:cols>
      <w:pgMar w:left="320" w:top="9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2022-05-10T16:27:59Z</dcterms:created>
  <dcterms:modified xsi:type="dcterms:W3CDTF">2022-05-10T16:27:59Z</dcterms:modified>
</cp:coreProperties>
</file>