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231F20"/>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June 2, 2023 (May 30, 2023)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CUMBERLAND PHARMACEUTICALS INC.</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88" w:lineRule="exact"/>
        <w:rPr>
          <w:sz w:val="24"/>
          <w:szCs w:val="24"/>
          <w:color w:val="auto"/>
        </w:rPr>
      </w:pPr>
    </w:p>
    <w:tbl>
      <w:tblPr>
        <w:tblLayout w:type="fixed"/>
        <w:tblInd w:w="500" w:type="dxa"/>
        <w:tblCellMar>
          <w:top w:w="0" w:type="dxa"/>
          <w:left w:w="0" w:type="dxa"/>
          <w:bottom w:w="0" w:type="dxa"/>
          <w:right w:w="0" w:type="dxa"/>
        </w:tblCellMar>
      </w:tblPr>
      <w:tr>
        <w:trPr>
          <w:trHeight w:val="261"/>
        </w:trPr>
        <w:tc>
          <w:tcPr>
            <w:tcW w:w="3720" w:type="dxa"/>
            <w:vAlign w:val="bottom"/>
          </w:tcPr>
          <w:p>
            <w:pPr>
              <w:jc w:val="center"/>
              <w:ind w:right="350"/>
              <w:spacing w:after="0"/>
              <w:rPr>
                <w:sz w:val="20"/>
                <w:szCs w:val="20"/>
                <w:color w:val="auto"/>
              </w:rPr>
            </w:pPr>
            <w:r>
              <w:rPr>
                <w:rFonts w:ascii="Arial" w:cs="Arial" w:eastAsia="Arial" w:hAnsi="Arial"/>
                <w:sz w:val="18"/>
                <w:szCs w:val="18"/>
                <w:b w:val="1"/>
                <w:bCs w:val="1"/>
                <w:color w:val="auto"/>
                <w:w w:val="81"/>
              </w:rPr>
              <w:t>Tennessee</w:t>
            </w:r>
          </w:p>
        </w:tc>
        <w:tc>
          <w:tcPr>
            <w:tcW w:w="2980" w:type="dxa"/>
            <w:vAlign w:val="bottom"/>
          </w:tcPr>
          <w:p>
            <w:pPr>
              <w:jc w:val="right"/>
              <w:ind w:right="1090"/>
              <w:spacing w:after="0"/>
              <w:rPr>
                <w:sz w:val="20"/>
                <w:szCs w:val="20"/>
                <w:color w:val="auto"/>
              </w:rPr>
            </w:pPr>
            <w:r>
              <w:rPr>
                <w:rFonts w:ascii="Arial" w:cs="Arial" w:eastAsia="Arial" w:hAnsi="Arial"/>
                <w:sz w:val="18"/>
                <w:szCs w:val="18"/>
                <w:b w:val="1"/>
                <w:bCs w:val="1"/>
                <w:color w:val="auto"/>
              </w:rPr>
              <w:t>001-33637</w:t>
            </w:r>
          </w:p>
        </w:tc>
        <w:tc>
          <w:tcPr>
            <w:tcW w:w="3200" w:type="dxa"/>
            <w:vAlign w:val="bottom"/>
          </w:tcPr>
          <w:p>
            <w:pPr>
              <w:jc w:val="right"/>
              <w:ind w:right="770"/>
              <w:spacing w:after="0"/>
              <w:rPr>
                <w:sz w:val="20"/>
                <w:szCs w:val="20"/>
                <w:color w:val="auto"/>
              </w:rPr>
            </w:pPr>
            <w:r>
              <w:rPr>
                <w:rFonts w:ascii="Arial" w:cs="Arial" w:eastAsia="Arial" w:hAnsi="Arial"/>
                <w:sz w:val="18"/>
                <w:szCs w:val="18"/>
                <w:b w:val="1"/>
                <w:bCs w:val="1"/>
                <w:color w:val="auto"/>
              </w:rPr>
              <w:t>62-1765329</w:t>
            </w:r>
          </w:p>
        </w:tc>
      </w:tr>
      <w:tr>
        <w:trPr>
          <w:trHeight w:val="202"/>
        </w:trPr>
        <w:tc>
          <w:tcPr>
            <w:tcW w:w="3720" w:type="dxa"/>
            <w:vAlign w:val="bottom"/>
          </w:tcPr>
          <w:p>
            <w:pPr>
              <w:jc w:val="center"/>
              <w:ind w:right="330"/>
              <w:spacing w:after="0" w:line="201" w:lineRule="exact"/>
              <w:rPr>
                <w:sz w:val="20"/>
                <w:szCs w:val="20"/>
                <w:color w:val="auto"/>
              </w:rPr>
            </w:pPr>
            <w:r>
              <w:rPr>
                <w:rFonts w:ascii="Arial" w:cs="Arial" w:eastAsia="Arial" w:hAnsi="Arial"/>
                <w:sz w:val="18"/>
                <w:szCs w:val="18"/>
                <w:color w:val="auto"/>
                <w:w w:val="92"/>
              </w:rPr>
              <w:t>(State or other jurisdiction of incorporation or</w:t>
            </w:r>
          </w:p>
        </w:tc>
        <w:tc>
          <w:tcPr>
            <w:tcW w:w="2980" w:type="dxa"/>
            <w:vAlign w:val="bottom"/>
          </w:tcPr>
          <w:p>
            <w:pPr>
              <w:spacing w:after="0"/>
              <w:rPr>
                <w:sz w:val="17"/>
                <w:szCs w:val="17"/>
                <w:color w:val="auto"/>
              </w:rPr>
            </w:pPr>
          </w:p>
        </w:tc>
        <w:tc>
          <w:tcPr>
            <w:tcW w:w="3200" w:type="dxa"/>
            <w:vAlign w:val="bottom"/>
          </w:tcPr>
          <w:p>
            <w:pPr>
              <w:jc w:val="center"/>
              <w:ind w:left="510"/>
              <w:spacing w:after="0" w:line="201" w:lineRule="exact"/>
              <w:rPr>
                <w:sz w:val="20"/>
                <w:szCs w:val="20"/>
                <w:color w:val="auto"/>
              </w:rPr>
            </w:pPr>
            <w:r>
              <w:rPr>
                <w:rFonts w:ascii="Arial" w:cs="Arial" w:eastAsia="Arial" w:hAnsi="Arial"/>
                <w:sz w:val="18"/>
                <w:szCs w:val="18"/>
                <w:color w:val="auto"/>
                <w:w w:val="93"/>
              </w:rPr>
              <w:t>(I.R.S. Employer Identification No.)</w:t>
            </w:r>
          </w:p>
        </w:tc>
      </w:tr>
      <w:tr>
        <w:trPr>
          <w:trHeight w:val="230"/>
        </w:trPr>
        <w:tc>
          <w:tcPr>
            <w:tcW w:w="3720" w:type="dxa"/>
            <w:vAlign w:val="bottom"/>
          </w:tcPr>
          <w:p>
            <w:pPr>
              <w:jc w:val="center"/>
              <w:ind w:right="350"/>
              <w:spacing w:after="0"/>
              <w:rPr>
                <w:sz w:val="20"/>
                <w:szCs w:val="20"/>
                <w:color w:val="auto"/>
              </w:rPr>
            </w:pPr>
            <w:r>
              <w:rPr>
                <w:rFonts w:ascii="Arial" w:cs="Arial" w:eastAsia="Arial" w:hAnsi="Arial"/>
                <w:sz w:val="18"/>
                <w:szCs w:val="18"/>
                <w:color w:val="auto"/>
                <w:w w:val="92"/>
              </w:rPr>
              <w:t>organization)</w:t>
            </w:r>
          </w:p>
        </w:tc>
        <w:tc>
          <w:tcPr>
            <w:tcW w:w="2980" w:type="dxa"/>
            <w:vAlign w:val="bottom"/>
          </w:tcPr>
          <w:p>
            <w:pPr>
              <w:jc w:val="center"/>
              <w:ind w:right="90"/>
              <w:spacing w:after="0"/>
              <w:rPr>
                <w:sz w:val="20"/>
                <w:szCs w:val="20"/>
                <w:color w:val="auto"/>
              </w:rPr>
            </w:pPr>
            <w:r>
              <w:rPr>
                <w:rFonts w:ascii="Arial" w:cs="Arial" w:eastAsia="Arial" w:hAnsi="Arial"/>
                <w:sz w:val="18"/>
                <w:szCs w:val="18"/>
                <w:color w:val="auto"/>
                <w:w w:val="93"/>
              </w:rPr>
              <w:t>(Commission File Number)</w:t>
            </w:r>
          </w:p>
        </w:tc>
        <w:tc>
          <w:tcPr>
            <w:tcW w:w="3200" w:type="dxa"/>
            <w:vAlign w:val="bottom"/>
          </w:tcPr>
          <w:p>
            <w:pPr>
              <w:spacing w:after="0"/>
              <w:rPr>
                <w:sz w:val="20"/>
                <w:szCs w:val="20"/>
                <w:color w:val="auto"/>
              </w:rPr>
            </w:pPr>
          </w:p>
        </w:tc>
      </w:tr>
    </w:tbl>
    <w:p>
      <w:pPr>
        <w:spacing w:after="0" w:line="117"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1600 West End Avenue, Suite 1300 Nashville, Tennessee 37203</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50"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(615) 255-0068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81"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920" w:firstLine="48"/>
        <w:spacing w:after="0" w:line="477"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tbl>
      <w:tblPr>
        <w:tblLayout w:type="fixed"/>
        <w:tblInd w:w="30" w:type="dxa"/>
        <w:tblCellMar>
          <w:top w:w="0" w:type="dxa"/>
          <w:left w:w="0" w:type="dxa"/>
          <w:bottom w:w="0" w:type="dxa"/>
          <w:right w:w="0" w:type="dxa"/>
        </w:tblCellMar>
      </w:tblPr>
      <w:tr>
        <w:trPr>
          <w:trHeight w:val="225"/>
        </w:trPr>
        <w:tc>
          <w:tcPr>
            <w:tcW w:w="39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323"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97" w:lineRule="exact"/>
        <w:rPr>
          <w:sz w:val="24"/>
          <w:szCs w:val="24"/>
          <w:color w:val="auto"/>
        </w:rPr>
      </w:pPr>
    </w:p>
    <w:p>
      <w:pPr>
        <w:ind w:right="14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4.01 Changes in Registrant's Certifying Accountant.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previously reported, on May 18, 2023, the Audit Committee of the Board of Directors of Cumberland Pharmaceuticals Inc. (the "Company"), notified Carr, Riggs &amp; Ingram, LLC (“CRI”) of the Company's decision to appoint CRI as its independent registered public accounting firm for the year ending December 31, 2023. The appointment of CRI was subject to the execution of an engagement letter and the related completion of CRI’s final client acceptance procedures.</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30, 2023, the Company completed the needed arrangements and engaged CRI as its independent registered public accounting firm for the fiscal year ending December 31, 2023, beginning with the interim period ending June 30, 2023.</w:t>
      </w:r>
    </w:p>
    <w:p>
      <w:pPr>
        <w:spacing w:after="0" w:line="1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Company's fiscal years ended December 31, 2022 and 2021, and the subsequent interim period through May 30, 2023, neither the Company, nor anyone on its behalf, consulted with CRI regarding (i) the application of accounting principles to a specified transaction, either completed or proposed; or the type of audit opinion that might be rendered on the Company's consolidated financial statements, and neither a written report nor oral advice was provided to the Company that CRI concluded was an important factor considered by the Company in reaching a decision as to an accounting, auditing or financial reporting issue; or (ii) any matter that was either the subject of a “disagreement” (as that term is defined in Item 304(a)(1)(iv) of Regulation S-K and the related instructions) or a “reportable event” (as that term is defined in Item 304(a)(1)(v)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1129665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6960" w:type="dxa"/>
            <w:vAlign w:val="bottom"/>
            <w:gridSpan w:val="2"/>
          </w:tcPr>
          <w:p>
            <w:pPr>
              <w:ind w:left="2780"/>
              <w:spacing w:after="0"/>
              <w:rPr>
                <w:sz w:val="20"/>
                <w:szCs w:val="20"/>
                <w:color w:val="auto"/>
              </w:rPr>
            </w:pPr>
            <w:r>
              <w:rPr>
                <w:rFonts w:ascii="Arial" w:cs="Arial" w:eastAsia="Arial" w:hAnsi="Arial"/>
                <w:sz w:val="18"/>
                <w:szCs w:val="18"/>
                <w:color w:val="auto"/>
              </w:rPr>
              <w:t>Cumberland Pharmaceuticals Inc.</w:t>
            </w:r>
          </w:p>
        </w:tc>
      </w:tr>
      <w:tr>
        <w:trPr>
          <w:trHeight w:val="513"/>
        </w:trPr>
        <w:tc>
          <w:tcPr>
            <w:tcW w:w="4200" w:type="dxa"/>
            <w:vAlign w:val="bottom"/>
          </w:tcPr>
          <w:p>
            <w:pPr>
              <w:spacing w:after="0"/>
              <w:rPr>
                <w:sz w:val="20"/>
                <w:szCs w:val="20"/>
                <w:color w:val="auto"/>
              </w:rPr>
            </w:pPr>
            <w:r>
              <w:rPr>
                <w:rFonts w:ascii="Arial" w:cs="Arial" w:eastAsia="Arial" w:hAnsi="Arial"/>
                <w:sz w:val="18"/>
                <w:szCs w:val="18"/>
                <w:color w:val="auto"/>
              </w:rPr>
              <w:t>Dated: June 2, 2023</w:t>
            </w:r>
          </w:p>
        </w:tc>
        <w:tc>
          <w:tcPr>
            <w:tcW w:w="4140" w:type="dxa"/>
            <w:vAlign w:val="bottom"/>
          </w:tcPr>
          <w:p>
            <w:pPr>
              <w:ind w:left="278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John Hamm</w:t>
            </w:r>
          </w:p>
        </w:tc>
      </w:tr>
      <w:tr>
        <w:trPr>
          <w:trHeight w:val="222"/>
        </w:trPr>
        <w:tc>
          <w:tcPr>
            <w:tcW w:w="42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John Hamm</w:t>
            </w:r>
          </w:p>
        </w:tc>
      </w:tr>
      <w:tr>
        <w:trPr>
          <w:trHeight w:val="230"/>
        </w:trPr>
        <w:tc>
          <w:tcPr>
            <w:tcW w:w="42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2023-06-02T16:25:38Z</dcterms:created>
  <dcterms:modified xsi:type="dcterms:W3CDTF">2023-06-02T16:25:38Z</dcterms:modified>
</cp:coreProperties>
</file>