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560705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10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8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6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231F20"/>
        </w:rPr>
        <w:t>CURRENT REPORT</w:t>
      </w:r>
    </w:p>
    <w:p>
      <w:pPr>
        <w:spacing w:after="0" w:line="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231F20"/>
        </w:rPr>
        <w:t>Pursuant to Section 13 OR 15(d) of The Securities Exchange Act of 1934</w:t>
      </w:r>
    </w:p>
    <w:p>
      <w:pPr>
        <w:spacing w:after="0" w:line="24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April 28, 2025 (April 28, 2025)</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Date of Report (date of earliest event reported)</w:t>
      </w:r>
    </w:p>
    <w:p>
      <w:pPr>
        <w:spacing w:after="0" w:line="2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CUMBERLAND PHARMACEUTICALS INC.</w:t>
      </w:r>
    </w:p>
    <w:p>
      <w:pPr>
        <w:spacing w:after="0" w:line="1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(Exact name of registrant as specified in its charter)</w:t>
      </w:r>
    </w:p>
    <w:p>
      <w:pPr>
        <w:spacing w:after="0" w:line="202" w:lineRule="exact"/>
        <w:rPr>
          <w:sz w:val="24"/>
          <w:szCs w:val="24"/>
          <w:color w:val="auto"/>
        </w:rPr>
      </w:pPr>
    </w:p>
    <w:tbl>
      <w:tblPr>
        <w:tblLayout w:type="fixed"/>
        <w:tblInd w:w="500" w:type="dxa"/>
        <w:tblCellMar>
          <w:top w:w="0" w:type="dxa"/>
          <w:left w:w="0" w:type="dxa"/>
          <w:bottom w:w="0" w:type="dxa"/>
          <w:right w:w="0" w:type="dxa"/>
        </w:tblCellMar>
      </w:tblPr>
      <w:tr>
        <w:trPr>
          <w:trHeight w:val="252"/>
        </w:trPr>
        <w:tc>
          <w:tcPr>
            <w:tcW w:w="3700" w:type="dxa"/>
            <w:vAlign w:val="bottom"/>
          </w:tcPr>
          <w:p>
            <w:pPr>
              <w:jc w:val="center"/>
              <w:ind w:right="330"/>
              <w:spacing w:after="0"/>
              <w:rPr>
                <w:sz w:val="20"/>
                <w:szCs w:val="20"/>
                <w:color w:val="auto"/>
              </w:rPr>
            </w:pPr>
            <w:r>
              <w:rPr>
                <w:rFonts w:ascii="Times New Roman" w:cs="Times New Roman" w:eastAsia="Times New Roman" w:hAnsi="Times New Roman"/>
                <w:sz w:val="18"/>
                <w:szCs w:val="18"/>
                <w:b w:val="1"/>
                <w:bCs w:val="1"/>
                <w:color w:val="auto"/>
                <w:w w:val="97"/>
              </w:rPr>
              <w:t>Tennessee</w:t>
            </w:r>
          </w:p>
        </w:tc>
        <w:tc>
          <w:tcPr>
            <w:tcW w:w="3000" w:type="dxa"/>
            <w:vAlign w:val="bottom"/>
          </w:tcPr>
          <w:p>
            <w:pPr>
              <w:jc w:val="right"/>
              <w:ind w:right="1110"/>
              <w:spacing w:after="0"/>
              <w:rPr>
                <w:sz w:val="20"/>
                <w:szCs w:val="20"/>
                <w:color w:val="auto"/>
              </w:rPr>
            </w:pPr>
            <w:r>
              <w:rPr>
                <w:rFonts w:ascii="Times New Roman" w:cs="Times New Roman" w:eastAsia="Times New Roman" w:hAnsi="Times New Roman"/>
                <w:sz w:val="18"/>
                <w:szCs w:val="18"/>
                <w:b w:val="1"/>
                <w:bCs w:val="1"/>
                <w:color w:val="auto"/>
              </w:rPr>
              <w:t>001-33637</w:t>
            </w:r>
          </w:p>
        </w:tc>
        <w:tc>
          <w:tcPr>
            <w:tcW w:w="3200" w:type="dxa"/>
            <w:vAlign w:val="bottom"/>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62-1765329</w:t>
            </w:r>
          </w:p>
        </w:tc>
        <w:tc>
          <w:tcPr>
            <w:tcW w:w="0" w:type="dxa"/>
            <w:vAlign w:val="bottom"/>
          </w:tcPr>
          <w:p>
            <w:pPr>
              <w:spacing w:after="0"/>
              <w:rPr>
                <w:sz w:val="1"/>
                <w:szCs w:val="1"/>
                <w:color w:val="auto"/>
              </w:rPr>
            </w:pPr>
          </w:p>
        </w:tc>
      </w:tr>
      <w:tr>
        <w:trPr>
          <w:trHeight w:val="203"/>
        </w:trPr>
        <w:tc>
          <w:tcPr>
            <w:tcW w:w="3700" w:type="dxa"/>
            <w:vAlign w:val="bottom"/>
          </w:tcPr>
          <w:p>
            <w:pPr>
              <w:jc w:val="center"/>
              <w:ind w:right="310"/>
              <w:spacing w:after="0" w:line="202" w:lineRule="exact"/>
              <w:rPr>
                <w:sz w:val="20"/>
                <w:szCs w:val="20"/>
                <w:color w:val="auto"/>
              </w:rPr>
            </w:pPr>
            <w:r>
              <w:rPr>
                <w:rFonts w:ascii="Times New Roman" w:cs="Times New Roman" w:eastAsia="Times New Roman" w:hAnsi="Times New Roman"/>
                <w:sz w:val="18"/>
                <w:szCs w:val="18"/>
                <w:color w:val="auto"/>
                <w:w w:val="99"/>
              </w:rPr>
              <w:t>(State or other jurisdiction of incorporation or</w:t>
            </w:r>
          </w:p>
        </w:tc>
        <w:tc>
          <w:tcPr>
            <w:tcW w:w="3000" w:type="dxa"/>
            <w:vAlign w:val="bottom"/>
            <w:vMerge w:val="restart"/>
          </w:tcPr>
          <w:p>
            <w:pPr>
              <w:jc w:val="center"/>
              <w:ind w:right="90"/>
              <w:spacing w:after="0"/>
              <w:rPr>
                <w:sz w:val="20"/>
                <w:szCs w:val="20"/>
                <w:color w:val="auto"/>
              </w:rPr>
            </w:pPr>
            <w:r>
              <w:rPr>
                <w:rFonts w:ascii="Times New Roman" w:cs="Times New Roman" w:eastAsia="Times New Roman" w:hAnsi="Times New Roman"/>
                <w:sz w:val="18"/>
                <w:szCs w:val="18"/>
                <w:color w:val="auto"/>
                <w:w w:val="99"/>
              </w:rPr>
              <w:t>(Commission File Number)</w:t>
            </w:r>
          </w:p>
        </w:tc>
        <w:tc>
          <w:tcPr>
            <w:tcW w:w="3200" w:type="dxa"/>
            <w:vAlign w:val="bottom"/>
          </w:tcPr>
          <w:p>
            <w:pPr>
              <w:jc w:val="center"/>
              <w:ind w:left="490"/>
              <w:spacing w:after="0" w:line="202" w:lineRule="exact"/>
              <w:rPr>
                <w:sz w:val="20"/>
                <w:szCs w:val="20"/>
                <w:color w:val="auto"/>
              </w:rPr>
            </w:pPr>
            <w:r>
              <w:rPr>
                <w:rFonts w:ascii="Times New Roman" w:cs="Times New Roman" w:eastAsia="Times New Roman" w:hAnsi="Times New Roman"/>
                <w:sz w:val="18"/>
                <w:szCs w:val="18"/>
                <w:color w:val="auto"/>
              </w:rPr>
              <w:t>(I.R.S. Employer Identification No.)</w:t>
            </w:r>
          </w:p>
        </w:tc>
        <w:tc>
          <w:tcPr>
            <w:tcW w:w="0" w:type="dxa"/>
            <w:vAlign w:val="bottom"/>
          </w:tcPr>
          <w:p>
            <w:pPr>
              <w:spacing w:after="0"/>
              <w:rPr>
                <w:sz w:val="1"/>
                <w:szCs w:val="1"/>
                <w:color w:val="auto"/>
              </w:rPr>
            </w:pPr>
          </w:p>
        </w:tc>
      </w:tr>
      <w:tr>
        <w:trPr>
          <w:trHeight w:val="234"/>
        </w:trPr>
        <w:tc>
          <w:tcPr>
            <w:tcW w:w="3700" w:type="dxa"/>
            <w:vAlign w:val="bottom"/>
          </w:tcPr>
          <w:p>
            <w:pPr>
              <w:jc w:val="center"/>
              <w:ind w:right="330"/>
              <w:spacing w:after="0"/>
              <w:rPr>
                <w:sz w:val="20"/>
                <w:szCs w:val="20"/>
                <w:color w:val="auto"/>
              </w:rPr>
            </w:pPr>
            <w:r>
              <w:rPr>
                <w:rFonts w:ascii="Times New Roman" w:cs="Times New Roman" w:eastAsia="Times New Roman" w:hAnsi="Times New Roman"/>
                <w:sz w:val="18"/>
                <w:szCs w:val="18"/>
                <w:color w:val="auto"/>
                <w:w w:val="99"/>
              </w:rPr>
              <w:t>organization)</w:t>
            </w:r>
          </w:p>
        </w:tc>
        <w:tc>
          <w:tcPr>
            <w:tcW w:w="3000" w:type="dxa"/>
            <w:vAlign w:val="bottom"/>
            <w:vMerge w:val="continue"/>
          </w:tcPr>
          <w:p>
            <w:pPr>
              <w:spacing w:after="0"/>
              <w:rPr>
                <w:sz w:val="20"/>
                <w:szCs w:val="20"/>
                <w:color w:val="auto"/>
              </w:rPr>
            </w:pPr>
          </w:p>
        </w:tc>
        <w:tc>
          <w:tcPr>
            <w:tcW w:w="32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0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2525 West End Avenue, Suite 950 Nashville, Tennessee 37203</w:t>
      </w:r>
    </w:p>
    <w:p>
      <w:pPr>
        <w:spacing w:after="0" w:line="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w:t>
      </w:r>
    </w:p>
    <w:p>
      <w:pPr>
        <w:spacing w:after="0" w:line="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(615) 255-0068</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0" w:lineRule="exact"/>
        <w:rPr>
          <w:sz w:val="24"/>
          <w:szCs w:val="24"/>
          <w:color w:val="auto"/>
        </w:rPr>
      </w:pPr>
    </w:p>
    <w:p>
      <w:pPr>
        <w:spacing w:after="0" w:line="263"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89" w:lineRule="exact"/>
        <w:rPr>
          <w:sz w:val="24"/>
          <w:szCs w:val="24"/>
          <w:color w:val="auto"/>
        </w:rPr>
      </w:pPr>
    </w:p>
    <w:p>
      <w:pPr>
        <w:ind w:left="400" w:hanging="352"/>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2" w:lineRule="exact"/>
        <w:rPr>
          <w:rFonts w:ascii="MS PGothic" w:cs="MS PGothic" w:eastAsia="MS PGothic" w:hAnsi="MS PGothic"/>
          <w:sz w:val="18"/>
          <w:szCs w:val="18"/>
          <w:color w:val="auto"/>
        </w:rPr>
      </w:pPr>
    </w:p>
    <w:p>
      <w:pPr>
        <w:ind w:left="400" w:hanging="352"/>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231F20"/>
        </w:rPr>
        <w:t>Soliciting material pursuant to Rule 14a-12 under the Exchange Act (17 CFR 240.14a-12)</w:t>
      </w:r>
    </w:p>
    <w:p>
      <w:pPr>
        <w:spacing w:after="0" w:line="265" w:lineRule="exact"/>
        <w:rPr>
          <w:rFonts w:ascii="MS PGothic" w:cs="MS PGothic" w:eastAsia="MS PGothic" w:hAnsi="MS PGothic"/>
          <w:sz w:val="18"/>
          <w:szCs w:val="18"/>
          <w:color w:val="auto"/>
        </w:rPr>
      </w:pPr>
    </w:p>
    <w:p>
      <w:pPr>
        <w:ind w:left="400" w:hanging="352"/>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231F20"/>
        </w:rPr>
        <w:t>Pre-commencement communications pursuant to Rule 14d-2(b) under the Exchange Act (17 CFR 240.14d-2(b))</w:t>
      </w:r>
    </w:p>
    <w:p>
      <w:pPr>
        <w:spacing w:after="0" w:line="279" w:lineRule="exact"/>
        <w:rPr>
          <w:rFonts w:ascii="MS PGothic" w:cs="MS PGothic" w:eastAsia="MS PGothic" w:hAnsi="MS PGothic"/>
          <w:sz w:val="18"/>
          <w:szCs w:val="18"/>
          <w:color w:val="auto"/>
        </w:rPr>
      </w:pPr>
    </w:p>
    <w:p>
      <w:pPr>
        <w:ind w:right="2800" w:firstLine="48"/>
        <w:spacing w:after="0" w:line="480" w:lineRule="auto"/>
        <w:tabs>
          <w:tab w:leader="none" w:pos="382"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231F20"/>
        </w:rPr>
        <w:t xml:space="preserve">Pre-commencement communications pursuant to Rule 13e-4(c) under the Exchange Act (17 CFR 240.13e-4(c)) </w:t>
      </w:r>
      <w:r>
        <w:rPr>
          <w:rFonts w:ascii="Times New Roman" w:cs="Times New Roman" w:eastAsia="Times New Roman" w:hAnsi="Times New Roman"/>
          <w:sz w:val="18"/>
          <w:szCs w:val="18"/>
          <w:color w:val="000000"/>
        </w:rPr>
        <w:t>Securities registered pursuant to Section 12(b) of the Act:</w:t>
      </w:r>
    </w:p>
    <w:tbl>
      <w:tblPr>
        <w:tblLayout w:type="fixed"/>
        <w:tblInd w:w="50" w:type="dxa"/>
        <w:tblCellMar>
          <w:top w:w="0" w:type="dxa"/>
          <w:left w:w="0" w:type="dxa"/>
          <w:bottom w:w="0" w:type="dxa"/>
          <w:right w:w="0" w:type="dxa"/>
        </w:tblCellMar>
      </w:tblPr>
      <w:tr>
        <w:trPr>
          <w:trHeight w:val="223"/>
        </w:trPr>
        <w:tc>
          <w:tcPr>
            <w:tcW w:w="38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3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Trading Symbol(s)</w:t>
            </w:r>
          </w:p>
        </w:tc>
        <w:tc>
          <w:tcPr>
            <w:tcW w:w="49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3"/>
        </w:trPr>
        <w:tc>
          <w:tcPr>
            <w:tcW w:w="38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no par value</w:t>
            </w:r>
          </w:p>
        </w:tc>
        <w:tc>
          <w:tcPr>
            <w:tcW w:w="23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CPIX</w:t>
            </w:r>
          </w:p>
        </w:tc>
        <w:tc>
          <w:tcPr>
            <w:tcW w:w="4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NASDAQ Global Select Market</w:t>
            </w:r>
          </w:p>
        </w:tc>
      </w:tr>
    </w:tbl>
    <w:p>
      <w:pPr>
        <w:spacing w:after="0" w:line="306"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48"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231F20"/>
        </w:rPr>
        <w:t xml:space="preserve">Emerging growth company </w:t>
      </w:r>
      <w:r>
        <w:rPr>
          <w:rFonts w:ascii="MS PGothic" w:cs="MS PGothic" w:eastAsia="MS PGothic" w:hAnsi="MS PGothic"/>
          <w:sz w:val="18"/>
          <w:szCs w:val="18"/>
          <w:color w:val="000000"/>
        </w:rPr>
        <w:t>☐</w:t>
      </w:r>
    </w:p>
    <w:p>
      <w:pPr>
        <w:spacing w:after="0" w:line="293"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321310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1"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5.07 Submission of Matters to a Vote of Security Holders.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On April 22, 2025, the annual meeting of shareholders of Cumberland Pharmaceuticals Inc. (the "Company") was held in Nashville, Tennessee. The following matters were voted upon and approved by the Company's shareholders:</w:t>
      </w:r>
    </w:p>
    <w:p>
      <w:pPr>
        <w:spacing w:after="0" w:line="94" w:lineRule="exact"/>
        <w:rPr>
          <w:sz w:val="20"/>
          <w:szCs w:val="20"/>
          <w:color w:val="auto"/>
        </w:rPr>
      </w:pPr>
    </w:p>
    <w:p>
      <w:pPr>
        <w:ind w:left="920" w:hanging="264"/>
        <w:spacing w:after="0"/>
        <w:tabs>
          <w:tab w:leader="none" w:pos="9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election of three (3) Class III Directors;</w:t>
      </w:r>
    </w:p>
    <w:p>
      <w:pPr>
        <w:spacing w:after="0" w:line="157" w:lineRule="exact"/>
        <w:rPr>
          <w:rFonts w:ascii="Times New Roman" w:cs="Times New Roman" w:eastAsia="Times New Roman" w:hAnsi="Times New Roman"/>
          <w:sz w:val="18"/>
          <w:szCs w:val="18"/>
          <w:color w:val="auto"/>
        </w:rPr>
      </w:pPr>
    </w:p>
    <w:p>
      <w:pPr>
        <w:ind w:left="660" w:hanging="4"/>
        <w:spacing w:after="0" w:line="282" w:lineRule="auto"/>
        <w:tabs>
          <w:tab w:leader="none" w:pos="932"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ratification of the appointment of Carr, Riggs &amp; Ingram, LLC as our independent registered public accounting firm for the year ending December 31, 2025;</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The voting results were as follows:</w:t>
            </w:r>
          </w:p>
        </w:tc>
        <w:tc>
          <w:tcPr>
            <w:tcW w:w="1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03"/>
        </w:trPr>
        <w:tc>
          <w:tcPr>
            <w:tcW w:w="48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8"/>
              </w:rPr>
              <w:t>% of Votes in</w:t>
            </w:r>
          </w:p>
        </w:tc>
      </w:tr>
      <w:tr>
        <w:trPr>
          <w:trHeight w:val="243"/>
        </w:trPr>
        <w:tc>
          <w:tcPr>
            <w:tcW w:w="4820" w:type="dxa"/>
            <w:vAlign w:val="bottom"/>
          </w:tcPr>
          <w:p>
            <w:pPr>
              <w:spacing w:after="0"/>
              <w:rPr>
                <w:sz w:val="21"/>
                <w:szCs w:val="21"/>
                <w:color w:val="auto"/>
              </w:rPr>
            </w:pPr>
          </w:p>
        </w:tc>
        <w:tc>
          <w:tcPr>
            <w:tcW w:w="136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For</w:t>
            </w:r>
          </w:p>
        </w:tc>
        <w:tc>
          <w:tcPr>
            <w:tcW w:w="12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Against</w:t>
            </w:r>
          </w:p>
        </w:tc>
        <w:tc>
          <w:tcPr>
            <w:tcW w:w="12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Withheld</w:t>
            </w:r>
          </w:p>
        </w:tc>
        <w:tc>
          <w:tcPr>
            <w:tcW w:w="13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Abstentions</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Favor</w:t>
            </w:r>
          </w:p>
        </w:tc>
      </w:tr>
      <w:tr>
        <w:trPr>
          <w:trHeight w:val="223"/>
        </w:trPr>
        <w:tc>
          <w:tcPr>
            <w:tcW w:w="4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Gordon R. Bernard</w:t>
            </w:r>
          </w:p>
        </w:tc>
        <w:tc>
          <w:tcPr>
            <w:tcW w:w="12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8,330,433</w:t>
            </w:r>
          </w:p>
        </w:tc>
        <w:tc>
          <w:tcPr>
            <w:tcW w:w="16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121,256</w:t>
            </w:r>
          </w:p>
        </w:tc>
        <w:tc>
          <w:tcPr>
            <w:tcW w:w="20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98.6%</w:t>
            </w:r>
          </w:p>
        </w:tc>
      </w:tr>
      <w:tr>
        <w:trPr>
          <w:trHeight w:val="229"/>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Joseph C. Galante</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8,381,649</w:t>
            </w:r>
          </w:p>
        </w:tc>
        <w:tc>
          <w:tcPr>
            <w:tcW w:w="160" w:type="dxa"/>
            <w:vAlign w:val="bottom"/>
          </w:tcPr>
          <w:p>
            <w:pPr>
              <w:spacing w:after="0"/>
              <w:rPr>
                <w:sz w:val="19"/>
                <w:szCs w:val="19"/>
                <w:color w:val="auto"/>
              </w:rPr>
            </w:pPr>
          </w:p>
        </w:tc>
        <w:tc>
          <w:tcPr>
            <w:tcW w:w="12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70,050</w:t>
            </w:r>
          </w:p>
        </w:tc>
        <w:tc>
          <w:tcPr>
            <w:tcW w:w="200" w:type="dxa"/>
            <w:vAlign w:val="bottom"/>
          </w:tcPr>
          <w:p>
            <w:pPr>
              <w:spacing w:after="0"/>
              <w:rPr>
                <w:sz w:val="19"/>
                <w:szCs w:val="19"/>
                <w:color w:val="auto"/>
              </w:rPr>
            </w:pPr>
          </w:p>
        </w:tc>
        <w:tc>
          <w:tcPr>
            <w:tcW w:w="13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99.2%</w:t>
            </w:r>
          </w:p>
        </w:tc>
      </w:tr>
      <w:tr>
        <w:trPr>
          <w:trHeight w:val="230"/>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A.J. Kazimi</w:t>
            </w: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8,416,517</w:t>
            </w: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8"/>
                <w:szCs w:val="18"/>
                <w:color w:val="auto"/>
                <w:w w:val="99"/>
              </w:rPr>
              <w:t>—</w:t>
            </w: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35182</w:t>
            </w:r>
          </w:p>
        </w:tc>
        <w:tc>
          <w:tcPr>
            <w:tcW w:w="2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w w:val="99"/>
              </w:rPr>
              <w:t>—</w:t>
            </w: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99.6%</w:t>
            </w:r>
          </w:p>
        </w:tc>
      </w:tr>
      <w:tr>
        <w:trPr>
          <w:trHeight w:val="175"/>
        </w:trPr>
        <w:tc>
          <w:tcPr>
            <w:tcW w:w="48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Appointment of Carr, Riggs &amp; Ingram LLC as our independent</w:t>
            </w:r>
          </w:p>
        </w:tc>
        <w:tc>
          <w:tcPr>
            <w:tcW w:w="1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84"/>
        </w:trPr>
        <w:tc>
          <w:tcPr>
            <w:tcW w:w="482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registered public accounting firm for the year ending December</w:t>
            </w:r>
          </w:p>
        </w:tc>
        <w:tc>
          <w:tcPr>
            <w:tcW w:w="1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234"/>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31, 2025</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11,338,632</w:t>
            </w:r>
          </w:p>
        </w:tc>
        <w:tc>
          <w:tcPr>
            <w:tcW w:w="160" w:type="dxa"/>
            <w:vAlign w:val="bottom"/>
          </w:tcPr>
          <w:p>
            <w:pPr>
              <w:spacing w:after="0"/>
              <w:rPr>
                <w:sz w:val="20"/>
                <w:szCs w:val="20"/>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25,717</w:t>
            </w:r>
          </w:p>
        </w:tc>
        <w:tc>
          <w:tcPr>
            <w:tcW w:w="160" w:type="dxa"/>
            <w:vAlign w:val="bottom"/>
          </w:tcPr>
          <w:p>
            <w:pPr>
              <w:spacing w:after="0"/>
              <w:rPr>
                <w:sz w:val="20"/>
                <w:szCs w:val="20"/>
                <w:color w:val="auto"/>
              </w:rPr>
            </w:pP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14,490</w:t>
            </w:r>
          </w:p>
        </w:tc>
        <w:tc>
          <w:tcPr>
            <w:tcW w:w="200" w:type="dxa"/>
            <w:vAlign w:val="bottom"/>
          </w:tcPr>
          <w:p>
            <w:pPr>
              <w:spacing w:after="0"/>
              <w:rPr>
                <w:sz w:val="20"/>
                <w:szCs w:val="20"/>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99.7%</w:t>
            </w:r>
          </w:p>
        </w:tc>
      </w:tr>
      <w:tr>
        <w:trPr>
          <w:trHeight w:val="1357"/>
        </w:trPr>
        <w:tc>
          <w:tcPr>
            <w:tcW w:w="482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spacing w:after="0" w:line="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1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70"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4280" w:type="dxa"/>
            <w:vAlign w:val="bottom"/>
          </w:tcPr>
          <w:p>
            <w:pPr>
              <w:spacing w:after="0"/>
              <w:rPr>
                <w:sz w:val="20"/>
                <w:szCs w:val="20"/>
                <w:color w:val="auto"/>
              </w:rPr>
            </w:pPr>
          </w:p>
        </w:tc>
        <w:tc>
          <w:tcPr>
            <w:tcW w:w="6880" w:type="dxa"/>
            <w:vAlign w:val="bottom"/>
            <w:gridSpan w:val="2"/>
          </w:tcPr>
          <w:p>
            <w:pPr>
              <w:ind w:left="2700"/>
              <w:spacing w:after="0"/>
              <w:rPr>
                <w:sz w:val="20"/>
                <w:szCs w:val="20"/>
                <w:color w:val="auto"/>
              </w:rPr>
            </w:pPr>
            <w:r>
              <w:rPr>
                <w:rFonts w:ascii="Times New Roman" w:cs="Times New Roman" w:eastAsia="Times New Roman" w:hAnsi="Times New Roman"/>
                <w:sz w:val="18"/>
                <w:szCs w:val="18"/>
                <w:color w:val="auto"/>
              </w:rPr>
              <w:t>Cumberland Pharmaceuticals Inc.</w:t>
            </w:r>
          </w:p>
        </w:tc>
      </w:tr>
      <w:tr>
        <w:trPr>
          <w:trHeight w:val="499"/>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Dated: April 28, 2025</w:t>
            </w:r>
          </w:p>
        </w:tc>
        <w:tc>
          <w:tcPr>
            <w:tcW w:w="4060" w:type="dxa"/>
            <w:vAlign w:val="bottom"/>
          </w:tcPr>
          <w:p>
            <w:pPr>
              <w:ind w:left="2700"/>
              <w:spacing w:after="0"/>
              <w:rPr>
                <w:sz w:val="20"/>
                <w:szCs w:val="20"/>
                <w:color w:val="auto"/>
              </w:rPr>
            </w:pPr>
            <w:r>
              <w:rPr>
                <w:rFonts w:ascii="Times New Roman" w:cs="Times New Roman" w:eastAsia="Times New Roman" w:hAnsi="Times New Roman"/>
                <w:sz w:val="18"/>
                <w:szCs w:val="18"/>
                <w:color w:val="auto"/>
              </w:rPr>
              <w:t>By:</w:t>
            </w:r>
          </w:p>
        </w:tc>
        <w:tc>
          <w:tcPr>
            <w:tcW w:w="2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/s/ John Hamm</w:t>
            </w:r>
          </w:p>
        </w:tc>
      </w:tr>
      <w:tr>
        <w:trPr>
          <w:trHeight w:val="218"/>
        </w:trPr>
        <w:tc>
          <w:tcPr>
            <w:tcW w:w="428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2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John Hamm</w:t>
            </w:r>
          </w:p>
        </w:tc>
      </w:tr>
      <w:tr>
        <w:trPr>
          <w:trHeight w:val="234"/>
        </w:trPr>
        <w:tc>
          <w:tcPr>
            <w:tcW w:w="4280" w:type="dxa"/>
            <w:vAlign w:val="bottom"/>
          </w:tcPr>
          <w:p>
            <w:pPr>
              <w:spacing w:after="0"/>
              <w:rPr>
                <w:sz w:val="20"/>
                <w:szCs w:val="20"/>
                <w:color w:val="auto"/>
              </w:rPr>
            </w:pPr>
          </w:p>
        </w:tc>
        <w:tc>
          <w:tcPr>
            <w:tcW w:w="4060" w:type="dxa"/>
            <w:vAlign w:val="bottom"/>
          </w:tcPr>
          <w:p>
            <w:pPr>
              <w:spacing w:after="0"/>
              <w:rPr>
                <w:sz w:val="20"/>
                <w:szCs w:val="20"/>
                <w:color w:val="auto"/>
              </w:rPr>
            </w:pPr>
          </w:p>
        </w:tc>
        <w:tc>
          <w:tcPr>
            <w:tcW w:w="2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1" w:lineRule="exact"/>
        <w:rPr>
          <w:sz w:val="20"/>
          <w:szCs w:val="20"/>
          <w:color w:val="auto"/>
        </w:rPr>
      </w:pP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2025-04-28T14:46:00Z</dcterms:created>
  <dcterms:modified xsi:type="dcterms:W3CDTF">2025-04-28T14:46:00Z</dcterms:modified>
</cp:coreProperties>
</file>