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95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AVENUE, SUITE 1300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95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43,352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43,368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43,384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43,400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43,416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43,432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43,448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43,464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43,480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43,496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43,512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43,528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43,544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43,560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43,576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43,592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43,608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43,624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43,637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43,650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43,663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43,676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95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6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1"/>
              </w:rPr>
              <w:t>6Date.Date ExercisableExpirandtion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ofand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6"/>
              </w:rPr>
              <w:t>TransactionCodeV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ExpirationercisableDateDate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AmountTitleSharesof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0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0"/>
              </w:rPr>
              <w:t>(Instr.3)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ofResponses: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940" w:type="dxa"/>
            <w:vAlign w:val="bottom"/>
            <w:gridSpan w:val="14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 occurred automatically pursuant to a Rule 10b5-1 trading plan adopted by the reporting person on November 14, 2024.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James Jones by /s/ John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08/11/2025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Hamm as attorney-in-fact</w:t>
            </w: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Signature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o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18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504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Code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4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V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(b)(v).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6358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63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0829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2025-08-11T08:04:53Z</dcterms:created>
  <dcterms:modified xsi:type="dcterms:W3CDTF">2025-08-11T08:04:53Z</dcterms:modified>
</cp:coreProperties>
</file>