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20, 2020 (May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0"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On May 20, 2020, Cumberland Pharmaceuticals Inc. (the "Company") issued a press release which provided a company update and the financial results for the three months ended March 31, 2020. A copy of the press release is attached as </w:t>
      </w:r>
      <w:hyperlink w:anchor="page4">
        <w:r>
          <w:rPr>
            <w:rFonts w:ascii="Arial" w:cs="Arial" w:eastAsia="Arial" w:hAnsi="Arial"/>
            <w:sz w:val="20"/>
            <w:szCs w:val="20"/>
            <w:u w:val="single" w:color="auto"/>
            <w:color w:val="0000FF"/>
          </w:rPr>
          <w:t>Exhibit 99.1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this Current Report on Form 8-K and is incorporated by reference into this Item 2.02.</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78"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4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513"/>
        </w:trPr>
        <w:tc>
          <w:tcPr>
            <w:tcW w:w="17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120" w:type="dxa"/>
            <w:vAlign w:val="bottom"/>
          </w:tcPr>
          <w:p>
            <w:pPr>
              <w:spacing w:after="0"/>
              <w:rPr>
                <w:sz w:val="24"/>
                <w:szCs w:val="24"/>
                <w:color w:val="auto"/>
              </w:rPr>
            </w:pPr>
          </w:p>
        </w:tc>
        <w:tc>
          <w:tcPr>
            <w:tcW w:w="576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20, 2020</w:t>
              </w:r>
            </w:hyperlink>
          </w:p>
        </w:tc>
      </w:tr>
    </w:tbl>
    <w:p>
      <w:pPr>
        <w:sectPr>
          <w:pgSz w:w="11900" w:h="16838" w:orient="portrait"/>
          <w:cols w:equalWidth="0" w:num="1">
            <w:col w:w="11240"/>
          </w:cols>
          <w:pgMar w:left="320" w:top="75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May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174"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500380</wp:posOffset>
            </wp:positionV>
            <wp:extent cx="349758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CUMBERLAND PHARMACEUTICALS REPORTS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2020 FINANCIAL RESULTS &amp; COMPANY UPDATE</w:t>
      </w:r>
    </w:p>
    <w:p>
      <w:pPr>
        <w:spacing w:after="0" w:line="200" w:lineRule="exact"/>
        <w:rPr>
          <w:sz w:val="20"/>
          <w:szCs w:val="20"/>
          <w:color w:val="auto"/>
        </w:rPr>
      </w:pP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NASHVILLE, TN (Wednesday, May 20, 2020) - Cumberland Pharmaceuticals Inc. (NASDAQ: CPIX)</w:t>
      </w:r>
      <w:r>
        <w:rPr>
          <w:rFonts w:ascii="Arial" w:cs="Arial" w:eastAsia="Arial" w:hAnsi="Arial"/>
          <w:sz w:val="22"/>
          <w:szCs w:val="22"/>
          <w:color w:val="auto"/>
        </w:rPr>
        <w:t>, 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focused on hospital acute care and gastroenterology today provided a company update and announced first quarter 2020 financial results. Net revenues from continuing operations during the quarter were $8.3 million. Total revenues were $9.1 million, as the company recorded an additional $750,000 in revenue in the first quarter associated with divested product rights.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Company's financial position included over $97 million in total assets, $48 million of total liabilities, and nearly $50 million of shareholders’ equity at the end of the quarter.</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"Our thoughts go out to those currently suffering from the novel coronavirus pandemic, and we extend our sincere gratitude to those on the front lines treating patients and performing essential jobs that allow our society to function," said A.J. Kazimi, Chief Executive Officer of Cumberland Pharmaceuticals. "Cumberland has remained open during this pandemic, since we are considered to be an essential business by the United States Department of Homeland Security. We have faced the same headwinds that have affected many healthcare companies, but we have implemented measures to lessen the impact of the coronavirus on our company during 2020."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Next Generation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Product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January 2020, Cumberland launched the next generation of its Caldolor (</w:t>
      </w:r>
      <w:r>
        <w:rPr>
          <w:rFonts w:ascii="Arial" w:cs="Arial" w:eastAsia="Arial" w:hAnsi="Arial"/>
          <w:sz w:val="22"/>
          <w:szCs w:val="22"/>
          <w:i w:val="1"/>
          <w:iCs w:val="1"/>
          <w:color w:val="auto"/>
        </w:rPr>
        <w:t>ibuprofen</w:t>
      </w:r>
      <w:r>
        <w:rPr>
          <w:rFonts w:ascii="Arial" w:cs="Arial" w:eastAsia="Arial" w:hAnsi="Arial"/>
          <w:sz w:val="22"/>
          <w:szCs w:val="22"/>
          <w:color w:val="auto"/>
        </w:rPr>
        <w:t>) Injection product. This formulation of Caldolor comes in a ready-to-use bag that may be administered without dilution for pain relief. This launch follows FDA approval in 2019 of the product's new delivery method.</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non-steroidal anti-inflammatory drug (NSAID), Caldolor may be used as the sole method of treatment for mild-moderate pain or as part of a multimodal treatment for severe pain. The new formulation of Caldolor comes in a pre-mixed bag containing 800 mg of ibuprofen in a 200 mL patented low-sodium formulation for injection that is ready to use. It is the first FDA-approved pre-mixed bag of ibuprofen. Caldolor is still available as an 800 mg/8mL single-dose vial (100mg/mL) for dilution in addition to the ready-to-use bag (4 mg/mL). The new, premixed presentation provides healthcare professionals a formulation that is easy to administer, helping manage the treatment of patient pain and fever, while reducing opioid consumption.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Caldolor Pediatric Study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Cumberland previously received FDA approval for the use of Caldolor in pediatric patients six months of age and older and is the first and only injectable NSAID approved for use in children. The Company then initiated a study to collect data on the use of Caldolor in children ranging in age from birth up to six months of age. Enrollment in that multi-center study was completed in 2019.</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2"/>
          <w:szCs w:val="22"/>
          <w:color w:val="auto"/>
        </w:rPr>
        <w:t>In March 2020, the Company announced topline results that indicated the use of Caldolor was well tolerated in children from birth up to six months of age. Following that announcement, the Company completed that data analysis and study report which was submitted to the FDA. Next steps include preparation of a study manuscript and determination of whether an additional pediatric indication will be available.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Acute Care Product Special Supply Arrangements</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March 2020, Cumberland announced an initiative to expand the availability of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along with special financial arrangements for hospitals and clinics to help ensure supply during this unprecedented healthcare crisis. In addition, the Company sponsored a national program with infectious disease experts to provide information on the management of complicated respiratory infections resulting from COVID-19.</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Additionally, in March 2020, the Company announced another initiative to expand the availability of Caldolor with special supply and financial arrangements, including favorable pricing and payment terms for hospitals and clinics to help ensure timely access to Caldolor during the coronavirus crisis.</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In April 2020, the Company announced a third COVID-19-related initiative. This initiative increased the availability of Vaprisol</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to hospitals and clinics including special supply and financial arrangements, with favorable pricing and payment terms, to help ensure timely access to Vaprisol during this healthcare crisis.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 Activities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April 2020, Cumberland released its first Sustainability Report. This report describes the company’s activities pertaining to Environmental, Social and Governance (ESG) matters, otherwise known as corporate sustainability. It includes details about Cumberland’s community involvement, ethical marketing and drug safety.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Cumberland's board appointed Caroline R. Young, former president of the Nashville Health Care Council, as the company’s first ESG board director.</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report notes that, during 2019, Cumberland provided nearly 4 million patient doses of products, safely disposed of over 9,700 pounds of expired and damaged products and had no product recalls. The Company had no product listings on the FDA’s Safety Alerts Database and no products identified in the FDA Adverse Event Reporting System during 2019.</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Ifetroban Phase II Clinical Programs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Enrollment in Cumberland's clinical studies declined during the first quarter due to the COVID-19 pandemic. While enrollment of new patients is currently limited, the Company is working to ensure that patients already entered into a trial continue to receive their study drug.</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Cumberland has completed three pilot Phase II studies involving ifetroban in 1) patients suffering from hepatorenal syndrome, a life-threatening condition involving liver and kidney failure, 2) patients with portal hypertension associated with chronic liver disease and 3) patients suffering from aspirin-exacerbated respiratory disease, a severe form of asthma. A follow-up Phase II study is currently underway for this asthma indication.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the Company is currently evaluating ifetroban in two pilot Phase II studies of 1) patients with systemic sclerosis or scleroderma, a debilitating autoimmune disorder characterized by diffuse fibrosis of the skin and internal organs and 2) patients with cardiomyopathy associated with Duchenne Muscular Dystrophy. This rare, fatal, genetic neuromuscular disease results in deterioration of the skeletal, heart and lung muscles.</w:t>
      </w:r>
    </w:p>
    <w:p>
      <w:pPr>
        <w:sectPr>
          <w:pgSz w:w="11900" w:h="16838" w:orient="portrait"/>
          <w:cols w:equalWidth="0" w:num="1">
            <w:col w:w="11240"/>
          </w:cols>
          <w:pgMar w:left="320" w:top="618"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22"/>
          <w:szCs w:val="22"/>
          <w:color w:val="auto"/>
        </w:rPr>
        <w:t>Cumberland is awaiting further study results before deciding on the best path for approval for ifetroban, its first new chemical entity.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Net Revenues: </w:t>
      </w:r>
      <w:r>
        <w:rPr>
          <w:rFonts w:ascii="Arial" w:cs="Arial" w:eastAsia="Arial" w:hAnsi="Arial"/>
          <w:sz w:val="22"/>
          <w:szCs w:val="22"/>
          <w:color w:val="auto"/>
        </w:rPr>
        <w:t>For the three months ended March 31, 2020, net revenues from ongoing operations were $8.3 million. Total</w:t>
      </w:r>
      <w:r>
        <w:rPr>
          <w:rFonts w:ascii="Arial" w:cs="Arial" w:eastAsia="Arial" w:hAnsi="Arial"/>
          <w:sz w:val="22"/>
          <w:szCs w:val="22"/>
          <w:b w:val="1"/>
          <w:bCs w:val="1"/>
          <w:color w:val="auto"/>
        </w:rPr>
        <w:t xml:space="preserve"> </w:t>
      </w:r>
      <w:r>
        <w:rPr>
          <w:rFonts w:ascii="Arial" w:cs="Arial" w:eastAsia="Arial" w:hAnsi="Arial"/>
          <w:sz w:val="22"/>
          <w:szCs w:val="22"/>
          <w:color w:val="auto"/>
        </w:rPr>
        <w:t>revenues were $9.1 million as another $750,000 in revenue was recorded associated with product rights which had been divested. Net revenue from continued operations in 2019 was $8.7 million.</w:t>
      </w:r>
    </w:p>
    <w:p>
      <w:pPr>
        <w:spacing w:after="0" w:line="225"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Net revenue by product for the three months ended March 31, 2020, included $3.3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,$2.4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$1.1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$0.7 million for Acetadote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(including the brand and Company's Authorized Generic), $0.2 million for Vaprisol</w:t>
      </w:r>
      <w:r>
        <w:rPr>
          <w:rFonts w:ascii="Arial" w:cs="Arial" w:eastAsia="Arial" w:hAnsi="Arial"/>
          <w:sz w:val="28"/>
          <w:szCs w:val="28"/>
          <w:color w:val="auto"/>
          <w:vertAlign w:val="superscript"/>
        </w:rPr>
        <w:t>®</w:t>
      </w:r>
      <w:r>
        <w:rPr>
          <w:rFonts w:ascii="Arial" w:cs="Arial" w:eastAsia="Arial" w:hAnsi="Arial"/>
          <w:sz w:val="22"/>
          <w:szCs w:val="22"/>
          <w:color w:val="auto"/>
        </w:rPr>
        <w:t>, and $0.1 million for Omeclamox</w:t>
      </w:r>
      <w:r>
        <w:rPr>
          <w:rFonts w:ascii="Arial" w:cs="Arial" w:eastAsia="Arial" w:hAnsi="Arial"/>
          <w:sz w:val="28"/>
          <w:szCs w:val="28"/>
          <w:color w:val="auto"/>
          <w:vertAlign w:val="superscript"/>
        </w:rPr>
        <w:t>®</w:t>
      </w:r>
      <w:r>
        <w:rPr>
          <w:rFonts w:ascii="Arial" w:cs="Arial" w:eastAsia="Arial" w:hAnsi="Arial"/>
          <w:sz w:val="22"/>
          <w:szCs w:val="22"/>
          <w:color w:val="auto"/>
        </w:rPr>
        <w:t>-Pak.</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three months ended March 31, 2020 were $10.2 million, similar to $10.1</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during the prior year period.</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Net income (loss) for the first quarter 2020 was $(1.1) million or $(0.07) a share, compared to $(0.1) million or $0.00</w:t>
      </w:r>
      <w:r>
        <w:rPr>
          <w:rFonts w:ascii="Arial" w:cs="Arial" w:eastAsia="Arial" w:hAnsi="Arial"/>
          <w:sz w:val="22"/>
          <w:szCs w:val="22"/>
          <w:b w:val="1"/>
          <w:bCs w:val="1"/>
          <w:color w:val="auto"/>
        </w:rPr>
        <w:t xml:space="preserve"> </w:t>
      </w:r>
      <w:r>
        <w:rPr>
          <w:rFonts w:ascii="Arial" w:cs="Arial" w:eastAsia="Arial" w:hAnsi="Arial"/>
          <w:sz w:val="22"/>
          <w:szCs w:val="22"/>
          <w:color w:val="auto"/>
        </w:rPr>
        <w:t>a share for the prior year period.</w:t>
      </w:r>
    </w:p>
    <w:p>
      <w:pPr>
        <w:spacing w:after="0" w:line="22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Adjusted Earnings for the first quarter were $0.2 million or $0.01 per diluted share, compared to $0.7 million or $0.04 per diluted share for the prior year period. The definition and reconciliation of Adjusted Earnings to net income is provided in this release.</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March 31, 2020, Cumberland had $97.4 million in total assets including $27.0 million in cash and marketable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Total liabilities were $47.6 million, including $18.5 million outstanding on the Company's revolving line of credit, resulting in Total shareholder's equity of $49.9 million.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A conference call and live Internet webcast will be held on Wednesday, May 20, at 4:30 p.m. Eastern Time to discuss the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1692495. The live webcast and rebroadcast can be accessed via Cumberland's website at </w:t>
      </w:r>
      <w:r>
        <w:rPr>
          <w:rFonts w:ascii="Arial" w:cs="Arial" w:eastAsia="Arial" w:hAnsi="Arial"/>
          <w:sz w:val="21"/>
          <w:szCs w:val="21"/>
          <w:u w:val="single" w:color="auto"/>
          <w:color w:val="0000FF"/>
        </w:rPr>
        <w:t>http://investor.shareholder.com/cpix/events.cfm</w:t>
      </w:r>
      <w:r>
        <w:rPr>
          <w:rFonts w:ascii="Arial" w:cs="Arial" w:eastAsia="Arial" w:hAnsi="Arial"/>
          <w:sz w:val="21"/>
          <w:szCs w:val="21"/>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Cumberland Pharmaceuticals Inc. is a specialty pharmaceutical company focused on the delivery of high quality prescription brands to improve patient care. The Company develops, acquires and commercializes brands for the hospital acute care, gastroenterology and oncology market segments. These medical specialties are categorized by moderately concentrated prescriber bases that we believe can be penetrated effectively by targeted sales forces. The Company’s portfolio of FDA approved brands includes:</w:t>
      </w:r>
    </w:p>
    <w:p>
      <w:pPr>
        <w:spacing w:after="0" w:line="177"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150"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150"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20"/>
          <w:szCs w:val="20"/>
          <w:b w:val="1"/>
          <w:bCs w:val="1"/>
          <w:color w:val="auto"/>
        </w:rPr>
        <w:t>Kristalose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lactulose</w:t>
      </w:r>
      <w:r>
        <w:rPr>
          <w:rFonts w:ascii="Arial" w:cs="Arial" w:eastAsia="Arial" w:hAnsi="Arial"/>
          <w:sz w:val="20"/>
          <w:szCs w:val="20"/>
          <w:color w:val="auto"/>
        </w:rPr>
        <w:t>) for Oral Solution, a prescription laxative, for the treatment of chronic and acute constipation;</w:t>
      </w:r>
    </w:p>
    <w:p>
      <w:pPr>
        <w:sectPr>
          <w:pgSz w:w="11900" w:h="16838" w:orient="portrait"/>
          <w:cols w:equalWidth="0" w:num="1">
            <w:col w:w="11240"/>
          </w:cols>
          <w:pgMar w:left="320" w:top="618" w:right="339" w:bottom="1440" w:gutter="0" w:footer="0" w:header="0"/>
        </w:sectPr>
      </w:pPr>
    </w:p>
    <w:bookmarkStart w:id="6" w:name="page7"/>
    <w:bookmarkEnd w:id="6"/>
    <w:p>
      <w:pPr>
        <w:ind w:left="580" w:hanging="329"/>
        <w:spacing w:after="0" w:line="227"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 infection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related duodenal ulcer disease;</w:t>
      </w:r>
    </w:p>
    <w:p>
      <w:pPr>
        <w:spacing w:after="0" w:line="185" w:lineRule="exact"/>
        <w:rPr>
          <w:rFonts w:ascii="Arial" w:cs="Arial" w:eastAsia="Arial" w:hAnsi="Arial"/>
          <w:sz w:val="18"/>
          <w:szCs w:val="18"/>
          <w:color w:val="auto"/>
        </w:rPr>
      </w:pPr>
    </w:p>
    <w:p>
      <w:pPr>
        <w:ind w:left="580" w:hanging="329"/>
        <w:spacing w:after="0" w:line="227"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w:t>
      </w:r>
    </w:p>
    <w:p>
      <w:pPr>
        <w:spacing w:after="0" w:line="185" w:lineRule="exact"/>
        <w:rPr>
          <w:rFonts w:ascii="Arial" w:cs="Arial" w:eastAsia="Arial" w:hAnsi="Arial"/>
          <w:sz w:val="18"/>
          <w:szCs w:val="18"/>
          <w:color w:val="auto"/>
        </w:rPr>
      </w:pPr>
    </w:p>
    <w:p>
      <w:pPr>
        <w:ind w:left="560" w:hanging="323"/>
        <w:spacing w:after="0" w:line="237"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21"/>
          <w:szCs w:val="21"/>
          <w:b w:val="1"/>
          <w:bCs w:val="1"/>
          <w:color w:val="auto"/>
        </w:rPr>
        <w:t>Vibativ</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telavancin</w:t>
      </w:r>
      <w:r>
        <w:rPr>
          <w:rFonts w:ascii="Arial" w:cs="Arial" w:eastAsia="Arial" w:hAnsi="Arial"/>
          <w:sz w:val="21"/>
          <w:szCs w:val="21"/>
          <w:color w:val="auto"/>
        </w:rPr>
        <w:t>) Injection, for the treatment of certain serious bacterial infections including hospital-acquired and</w:t>
      </w:r>
      <w:r>
        <w:rPr>
          <w:rFonts w:ascii="Arial" w:cs="Arial" w:eastAsia="Arial" w:hAnsi="Arial"/>
          <w:sz w:val="21"/>
          <w:szCs w:val="21"/>
          <w:b w:val="1"/>
          <w:bCs w:val="1"/>
          <w:color w:val="auto"/>
        </w:rPr>
        <w:t xml:space="preserve"> </w:t>
      </w:r>
      <w:r>
        <w:rPr>
          <w:rFonts w:ascii="Arial" w:cs="Arial" w:eastAsia="Arial" w:hAnsi="Arial"/>
          <w:sz w:val="21"/>
          <w:szCs w:val="21"/>
          <w:color w:val="auto"/>
        </w:rPr>
        <w:t>ventilator-associated bacterial pneumonia, as well as complicated skin and skin structure infections.</w:t>
      </w:r>
    </w:p>
    <w:p>
      <w:pPr>
        <w:spacing w:after="0" w:line="183" w:lineRule="exact"/>
        <w:rPr>
          <w:rFonts w:ascii="Arial" w:cs="Arial" w:eastAsia="Arial" w:hAnsi="Arial"/>
          <w:sz w:val="17"/>
          <w:szCs w:val="17"/>
          <w:color w:val="auto"/>
        </w:rPr>
      </w:pPr>
    </w:p>
    <w:p>
      <w:pPr>
        <w:ind w:left="560" w:right="700" w:hanging="323"/>
        <w:spacing w:after="0" w:line="22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the individual product websites, links to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has Phase II clinical programs underway evaluating its ifetroban product candidates in patients with cardiomyopathy associated with Duchenne Muscular Dystrophy (“DMD”), Systemic Sclerosis (“SSc”), and Aspirin-Exacerbated Respiratory Disease ("AERD"), Hepatorenal Syndrome (“HRS”) and Portal Hypertension (“PH”).</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Arial" w:cs="Arial" w:eastAsia="Arial" w:hAnsi="Arial"/>
          <w:sz w:val="19"/>
          <w:szCs w:val="19"/>
          <w:u w:val="single" w:color="auto"/>
          <w:color w:val="0000FF"/>
        </w:rPr>
        <w:t>www.acetadote.com</w:t>
      </w:r>
      <w:r>
        <w:rPr>
          <w:rFonts w:ascii="Arial" w:cs="Arial" w:eastAsia="Arial" w:hAnsi="Arial"/>
          <w:sz w:val="19"/>
          <w:szCs w:val="19"/>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Arial" w:cs="Arial" w:eastAsia="Arial" w:hAnsi="Arial"/>
          <w:sz w:val="21"/>
          <w:szCs w:val="21"/>
          <w:u w:val="single" w:color="auto"/>
          <w:color w:val="0000FF"/>
        </w:rPr>
        <w:t>www.caldolor.com</w:t>
      </w:r>
      <w:r>
        <w:rPr>
          <w:rFonts w:ascii="Arial" w:cs="Arial" w:eastAsia="Arial" w:hAnsi="Arial"/>
          <w:sz w:val="21"/>
          <w:szCs w:val="2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Arial" w:cs="Arial" w:eastAsia="Arial" w:hAnsi="Arial"/>
          <w:sz w:val="19"/>
          <w:szCs w:val="19"/>
          <w:u w:val="single" w:color="auto"/>
          <w:color w:val="0000FF"/>
        </w:rPr>
        <w:t>www.kristalose.com</w:t>
      </w:r>
      <w:r>
        <w:rPr>
          <w:rFonts w:ascii="Arial" w:cs="Arial" w:eastAsia="Arial" w:hAnsi="Arial"/>
          <w:sz w:val="19"/>
          <w:szCs w:val="19"/>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206"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Vibativ is a patented, FDA approved injectable anti-infective for the treatment of certain serious bacterial infections including hospital-acquired and ventilator-associated bacterial pneumonia and complicated skin</w:t>
      </w:r>
    </w:p>
    <w:p>
      <w:pPr>
        <w:sectPr>
          <w:pgSz w:w="11900" w:h="16838" w:orient="portrait"/>
          <w:cols w:equalWidth="0" w:num="1">
            <w:col w:w="11240"/>
          </w:cols>
          <w:pgMar w:left="320" w:top="603" w:right="339" w:bottom="1440" w:gutter="0" w:footer="0" w:header="0"/>
        </w:sectPr>
      </w:pPr>
    </w:p>
    <w:bookmarkStart w:id="7" w:name="page8"/>
    <w:bookmarkEnd w:id="7"/>
    <w:p>
      <w:pPr>
        <w:ind w:right="220"/>
        <w:spacing w:after="0" w:line="248" w:lineRule="auto"/>
        <w:rPr>
          <w:sz w:val="20"/>
          <w:szCs w:val="20"/>
          <w:color w:val="auto"/>
        </w:rPr>
      </w:pPr>
      <w:r>
        <w:rPr>
          <w:rFonts w:ascii="Arial" w:cs="Arial" w:eastAsia="Arial" w:hAnsi="Arial"/>
          <w:sz w:val="22"/>
          <w:szCs w:val="22"/>
          <w:color w:val="auto"/>
        </w:rPr>
        <w:t xml:space="preserve">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22"/>
          <w:szCs w:val="22"/>
          <w:u w:val="single" w:color="auto"/>
          <w:color w:val="0563C1"/>
        </w:rPr>
        <w:t>www.vibativ.com.</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Arial" w:cs="Arial" w:eastAsia="Arial" w:hAnsi="Arial"/>
          <w:sz w:val="22"/>
          <w:szCs w:val="22"/>
          <w:u w:val="single" w:color="auto"/>
          <w:color w:val="0000FF"/>
        </w:rPr>
        <w:t>www.omeclamox.com</w:t>
      </w:r>
      <w:r>
        <w:rPr>
          <w:rFonts w:ascii="Arial" w:cs="Arial" w:eastAsia="Arial" w:hAnsi="Arial"/>
          <w:sz w:val="22"/>
          <w:szCs w:val="22"/>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Arial" w:cs="Arial" w:eastAsia="Arial" w:hAnsi="Arial"/>
          <w:sz w:val="22"/>
          <w:szCs w:val="22"/>
          <w:u w:val="single" w:color="auto"/>
          <w:color w:val="0563C1"/>
        </w:rPr>
        <w:t>www.vaprisol.com</w:t>
      </w:r>
      <w:r>
        <w:rPr>
          <w:rFonts w:ascii="Arial" w:cs="Arial" w:eastAsia="Arial" w:hAnsi="Arial"/>
          <w:sz w:val="22"/>
          <w:szCs w:val="22"/>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u w:val="single" w:color="auto"/>
          <w:color w:val="0000FF"/>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64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This press release may contain statements that are "forward-looking" within the meaning of Section 27A of the Securities Act of 1933, as amended, and Section 21E of the Securities Exchange Act of 1934, as amended, pursuant to the safe harbor provisions of the Private Securities Litigation Reform Act of 1995. Forward-looking statements are based on certain assumptions and can include future expectations, future plans and strategies, financial and operating projections or other information. Such forward-looking statements reflect management’s current beliefs and are based on information currently available to management. Because forward-looking statements relate to future events, they are subject to inherent uncertainties, risks and changes in circumstances that are difficult to predict and many of which are outside of Cumberland’s control. Thus, Cumberland’s actual results and financial condition may differ materially due to: market conditions, competition, an inability of manufacturers to supply Cumberland's products, maintaining an effective sales and marketing infrastructure, availability of additional debt and equity capital required to finance the business, our ability to continue to acquire brands, management of our growth and integration of our acquisitions, impacts on our business, as well as national and international markets and economies resulting from the 2020 COVID-19 pandemic, and the other factors described in the section entitled "Risk Factors" in the Company's Annual Report on Form 10-K for the year ended December 31, 2019, and the Company’s other filings with the SEC. Readers are cautioned not to place undue reliance on any forward-looking statements, and Cumberland undertakes no obligation to update them, whether as a result of new information, future developments, or otherwise, except as may be required by law.</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Media Contacts:</w:t>
            </w: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Erin Gull</w:t>
            </w:r>
          </w:p>
        </w:tc>
        <w:tc>
          <w:tcPr>
            <w:tcW w:w="3400" w:type="dxa"/>
            <w:vAlign w:val="bottom"/>
            <w:gridSpan w:val="2"/>
          </w:tcPr>
          <w:p>
            <w:pPr>
              <w:ind w:left="1140"/>
              <w:spacing w:after="0"/>
              <w:rPr>
                <w:sz w:val="20"/>
                <w:szCs w:val="20"/>
                <w:color w:val="auto"/>
              </w:rPr>
            </w:pPr>
            <w:r>
              <w:rPr>
                <w:rFonts w:ascii="Arial" w:cs="Arial" w:eastAsia="Arial" w:hAnsi="Arial"/>
                <w:sz w:val="18"/>
                <w:szCs w:val="18"/>
                <w:color w:val="auto"/>
              </w:rPr>
              <w:t>Jeff Bradford</w:t>
            </w:r>
          </w:p>
        </w:tc>
        <w:tc>
          <w:tcPr>
            <w:tcW w:w="2600" w:type="dxa"/>
            <w:vAlign w:val="bottom"/>
            <w:gridSpan w:val="2"/>
          </w:tcPr>
          <w:p>
            <w:pPr>
              <w:ind w:left="600"/>
              <w:spacing w:after="0"/>
              <w:rPr>
                <w:sz w:val="20"/>
                <w:szCs w:val="20"/>
                <w:color w:val="auto"/>
              </w:rPr>
            </w:pPr>
            <w:r>
              <w:rPr>
                <w:rFonts w:ascii="Arial" w:cs="Arial" w:eastAsia="Arial" w:hAnsi="Arial"/>
                <w:sz w:val="18"/>
                <w:szCs w:val="18"/>
                <w:color w:val="auto"/>
              </w:rPr>
              <w:t>Molly Aggas</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Corporate Relations</w:t>
            </w:r>
          </w:p>
        </w:tc>
        <w:tc>
          <w:tcPr>
            <w:tcW w:w="3400" w:type="dxa"/>
            <w:vAlign w:val="bottom"/>
            <w:gridSpan w:val="2"/>
          </w:tcPr>
          <w:p>
            <w:pPr>
              <w:ind w:left="1140"/>
              <w:spacing w:after="0"/>
              <w:rPr>
                <w:sz w:val="20"/>
                <w:szCs w:val="20"/>
                <w:color w:val="auto"/>
              </w:rPr>
            </w:pPr>
            <w:r>
              <w:rPr>
                <w:rFonts w:ascii="Arial" w:cs="Arial" w:eastAsia="Arial" w:hAnsi="Arial"/>
                <w:sz w:val="18"/>
                <w:szCs w:val="18"/>
                <w:color w:val="auto"/>
              </w:rPr>
              <w:t>the Bradford Group</w:t>
            </w:r>
          </w:p>
        </w:tc>
        <w:tc>
          <w:tcPr>
            <w:tcW w:w="2600" w:type="dxa"/>
            <w:vAlign w:val="bottom"/>
            <w:gridSpan w:val="2"/>
          </w:tcPr>
          <w:p>
            <w:pPr>
              <w:ind w:left="600"/>
              <w:spacing w:after="0"/>
              <w:rPr>
                <w:sz w:val="20"/>
                <w:szCs w:val="20"/>
                <w:color w:val="auto"/>
              </w:rPr>
            </w:pPr>
            <w:r>
              <w:rPr>
                <w:rFonts w:ascii="Arial" w:cs="Arial" w:eastAsia="Arial" w:hAnsi="Arial"/>
                <w:sz w:val="18"/>
                <w:szCs w:val="18"/>
                <w:color w:val="auto"/>
              </w:rPr>
              <w:t>The Bradford Group</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(615) 255-0068</w:t>
            </w:r>
          </w:p>
        </w:tc>
        <w:tc>
          <w:tcPr>
            <w:tcW w:w="1560" w:type="dxa"/>
            <w:vAlign w:val="bottom"/>
          </w:tcPr>
          <w:p>
            <w:pPr>
              <w:ind w:left="1140"/>
              <w:spacing w:after="0"/>
              <w:rPr>
                <w:sz w:val="20"/>
                <w:szCs w:val="20"/>
                <w:color w:val="auto"/>
              </w:rPr>
            </w:pPr>
            <w:r>
              <w:rPr>
                <w:rFonts w:ascii="Arial" w:cs="Arial" w:eastAsia="Arial" w:hAnsi="Arial"/>
                <w:sz w:val="18"/>
                <w:szCs w:val="18"/>
                <w:color w:val="auto"/>
                <w:w w:val="95"/>
              </w:rPr>
              <w:t>(615)</w:t>
            </w:r>
          </w:p>
        </w:tc>
        <w:tc>
          <w:tcPr>
            <w:tcW w:w="1840" w:type="dxa"/>
            <w:vAlign w:val="bottom"/>
          </w:tcPr>
          <w:p>
            <w:pPr>
              <w:ind w:left="20"/>
              <w:spacing w:after="0"/>
              <w:rPr>
                <w:sz w:val="20"/>
                <w:szCs w:val="20"/>
                <w:color w:val="auto"/>
              </w:rPr>
            </w:pPr>
            <w:r>
              <w:rPr>
                <w:rFonts w:ascii="Arial" w:cs="Arial" w:eastAsia="Arial" w:hAnsi="Arial"/>
                <w:sz w:val="18"/>
                <w:szCs w:val="18"/>
                <w:color w:val="auto"/>
              </w:rPr>
              <w:t>515-4880 office</w:t>
            </w:r>
          </w:p>
        </w:tc>
        <w:tc>
          <w:tcPr>
            <w:tcW w:w="1000" w:type="dxa"/>
            <w:vAlign w:val="bottom"/>
          </w:tcPr>
          <w:p>
            <w:pPr>
              <w:ind w:left="600"/>
              <w:spacing w:after="0"/>
              <w:rPr>
                <w:sz w:val="20"/>
                <w:szCs w:val="20"/>
                <w:color w:val="auto"/>
              </w:rPr>
            </w:pPr>
            <w:r>
              <w:rPr>
                <w:rFonts w:ascii="Arial" w:cs="Arial" w:eastAsia="Arial" w:hAnsi="Arial"/>
                <w:sz w:val="18"/>
                <w:szCs w:val="18"/>
                <w:color w:val="auto"/>
                <w:w w:val="90"/>
              </w:rPr>
              <w:t>(615)</w:t>
            </w:r>
          </w:p>
        </w:tc>
        <w:tc>
          <w:tcPr>
            <w:tcW w:w="1600" w:type="dxa"/>
            <w:vAlign w:val="bottom"/>
          </w:tcPr>
          <w:p>
            <w:pPr>
              <w:ind w:left="40"/>
              <w:spacing w:after="0"/>
              <w:rPr>
                <w:sz w:val="20"/>
                <w:szCs w:val="20"/>
                <w:color w:val="auto"/>
              </w:rPr>
            </w:pPr>
            <w:r>
              <w:rPr>
                <w:rFonts w:ascii="Arial" w:cs="Arial" w:eastAsia="Arial" w:hAnsi="Arial"/>
                <w:sz w:val="18"/>
                <w:szCs w:val="18"/>
                <w:color w:val="auto"/>
              </w:rPr>
              <w:t>515-4882 office</w:t>
            </w:r>
          </w:p>
        </w:tc>
      </w:tr>
      <w:tr>
        <w:trPr>
          <w:trHeight w:val="270"/>
        </w:trPr>
        <w:tc>
          <w:tcPr>
            <w:tcW w:w="2600" w:type="dxa"/>
            <w:vAlign w:val="bottom"/>
          </w:tcPr>
          <w:p>
            <w:pPr>
              <w:spacing w:after="0"/>
              <w:rPr>
                <w:sz w:val="23"/>
                <w:szCs w:val="23"/>
                <w:color w:val="auto"/>
              </w:rPr>
            </w:pPr>
          </w:p>
        </w:tc>
        <w:tc>
          <w:tcPr>
            <w:tcW w:w="1560" w:type="dxa"/>
            <w:vAlign w:val="bottom"/>
          </w:tcPr>
          <w:p>
            <w:pPr>
              <w:ind w:left="1140"/>
              <w:spacing w:after="0"/>
              <w:rPr>
                <w:sz w:val="20"/>
                <w:szCs w:val="20"/>
                <w:color w:val="auto"/>
              </w:rPr>
            </w:pPr>
            <w:r>
              <w:rPr>
                <w:rFonts w:ascii="Arial" w:cs="Arial" w:eastAsia="Arial" w:hAnsi="Arial"/>
                <w:sz w:val="18"/>
                <w:szCs w:val="18"/>
                <w:color w:val="auto"/>
                <w:w w:val="95"/>
              </w:rPr>
              <w:t>(615)</w:t>
            </w:r>
          </w:p>
        </w:tc>
        <w:tc>
          <w:tcPr>
            <w:tcW w:w="1840" w:type="dxa"/>
            <w:vAlign w:val="bottom"/>
          </w:tcPr>
          <w:p>
            <w:pPr>
              <w:ind w:left="20"/>
              <w:spacing w:after="0"/>
              <w:rPr>
                <w:sz w:val="20"/>
                <w:szCs w:val="20"/>
                <w:color w:val="auto"/>
              </w:rPr>
            </w:pPr>
            <w:r>
              <w:rPr>
                <w:rFonts w:ascii="Arial" w:cs="Arial" w:eastAsia="Arial" w:hAnsi="Arial"/>
                <w:sz w:val="18"/>
                <w:szCs w:val="18"/>
                <w:color w:val="auto"/>
              </w:rPr>
              <w:t>337-0964 mobile</w:t>
            </w:r>
          </w:p>
        </w:tc>
        <w:tc>
          <w:tcPr>
            <w:tcW w:w="1000" w:type="dxa"/>
            <w:vAlign w:val="bottom"/>
          </w:tcPr>
          <w:p>
            <w:pPr>
              <w:ind w:left="600"/>
              <w:spacing w:after="0"/>
              <w:rPr>
                <w:sz w:val="20"/>
                <w:szCs w:val="20"/>
                <w:color w:val="auto"/>
              </w:rPr>
            </w:pPr>
            <w:r>
              <w:rPr>
                <w:rFonts w:ascii="Arial" w:cs="Arial" w:eastAsia="Arial" w:hAnsi="Arial"/>
                <w:sz w:val="18"/>
                <w:szCs w:val="18"/>
                <w:color w:val="auto"/>
                <w:w w:val="90"/>
              </w:rPr>
              <w:t>(615)</w:t>
            </w:r>
          </w:p>
        </w:tc>
        <w:tc>
          <w:tcPr>
            <w:tcW w:w="1600" w:type="dxa"/>
            <w:vAlign w:val="bottom"/>
          </w:tcPr>
          <w:p>
            <w:pPr>
              <w:ind w:left="40"/>
              <w:spacing w:after="0"/>
              <w:rPr>
                <w:sz w:val="20"/>
                <w:szCs w:val="20"/>
                <w:color w:val="auto"/>
              </w:rPr>
            </w:pPr>
            <w:r>
              <w:rPr>
                <w:rFonts w:ascii="Arial" w:cs="Arial" w:eastAsia="Arial" w:hAnsi="Arial"/>
                <w:sz w:val="18"/>
                <w:szCs w:val="18"/>
                <w:color w:val="auto"/>
                <w:w w:val="90"/>
              </w:rPr>
              <w:t>704-641-6641 mobile</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MORE -</w:t>
      </w:r>
    </w:p>
    <w:p>
      <w:pPr>
        <w:sectPr>
          <w:pgSz w:w="11900" w:h="16838" w:orient="portrait"/>
          <w:cols w:equalWidth="0" w:num="1">
            <w:col w:w="11240"/>
          </w:cols>
          <w:pgMar w:left="320" w:top="55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27,026,734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28,212,635</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5,949,910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7,843,917</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8,150,152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8,871,254</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Current assets of discontinued operations</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1,291,359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2,477,813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2,318,862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2,757,456</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44,737,017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50,163,075</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15,569,992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15,554,992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694,499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747,796</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30,142,611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30,920,324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882,000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2,733,782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2,960,569</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2,637,434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3,298,725</w:t>
            </w:r>
          </w:p>
        </w:tc>
      </w:tr>
      <w:tr>
        <w:trPr>
          <w:trHeight w:val="237"/>
        </w:trPr>
        <w:tc>
          <w:tcPr>
            <w:tcW w:w="754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97,419,137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104,549,283</w:t>
            </w:r>
          </w:p>
        </w:tc>
      </w:tr>
      <w:tr>
        <w:trPr>
          <w:trHeight w:val="67"/>
        </w:trPr>
        <w:tc>
          <w:tcPr>
            <w:tcW w:w="75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8,247,899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9,993,578</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Current liabilities of discontinued operations</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1,247,011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1,918,868</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lease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920,431</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8,933,874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11,317,358</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19,372,591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24,150,235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Revolving line of credit</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18,500,000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lease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1,831,274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2,076,472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7,872,214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8,737,323</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47,576,079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53,464,030</w:t>
            </w: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r>
      <w:tr>
        <w:trPr>
          <w:trHeight w:val="40"/>
        </w:trPr>
        <w:tc>
          <w:tcPr>
            <w:tcW w:w="7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75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shd w:val="clear" w:color="auto" w:fill="CCEEFF"/>
              </w:rPr>
              <w:t>Common stock—no par value; 100,000,000 shares authorized; 15,318,529 and 15,263,555</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6"/>
        </w:trPr>
        <w:tc>
          <w:tcPr>
            <w:tcW w:w="7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5"/>
                <w:shd w:val="clear" w:color="auto" w:fill="CCEEFF"/>
              </w:rPr>
              <w:t>shares issued and outstanding as of March 31, 2020 and December 31, 2019,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49,737,428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49,914,478</w:t>
            </w:r>
          </w:p>
        </w:tc>
      </w:tr>
      <w:tr>
        <w:trPr>
          <w:trHeight w:val="243"/>
        </w:trPr>
        <w:tc>
          <w:tcPr>
            <w:tcW w:w="7540" w:type="dxa"/>
            <w:vAlign w:val="bottom"/>
          </w:tcPr>
          <w:p>
            <w:pPr>
              <w:ind w:left="6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152,775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1,208,395</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49,890,203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51,122,873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(37,620)</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49,843,058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51,085,253</w:t>
            </w:r>
          </w:p>
        </w:tc>
      </w:tr>
      <w:tr>
        <w:trPr>
          <w:trHeight w:val="236"/>
        </w:trPr>
        <w:tc>
          <w:tcPr>
            <w:tcW w:w="754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97,419,137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104,549,283</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77" w:right="339" w:bottom="1440" w:gutter="0" w:footer="0" w:header="0"/>
        </w:sectPr>
      </w:pPr>
    </w:p>
    <w:bookmarkStart w:id="10" w:name="page11"/>
    <w:bookmarkEnd w:id="10"/>
    <w:p>
      <w:pPr>
        <w:jc w:val="center"/>
        <w:ind w:left="340" w:right="2340"/>
        <w:spacing w:after="0" w:line="266" w:lineRule="auto"/>
        <w:rPr>
          <w:sz w:val="20"/>
          <w:szCs w:val="20"/>
          <w:color w:val="auto"/>
        </w:rPr>
      </w:pPr>
      <w:r>
        <w:rPr>
          <w:rFonts w:ascii="Arial" w:cs="Arial" w:eastAsia="Arial" w:hAnsi="Arial"/>
          <w:sz w:val="18"/>
          <w:szCs w:val="18"/>
          <w:b w:val="1"/>
          <w:bCs w:val="1"/>
          <w:color w:val="auto"/>
        </w:rPr>
        <w:t>CUMBERLAND PHARMACEUTICALS INC. AND SUBSIDIARIES Condensed Consolidated Statements of Operations and Comprehensive Income (loss)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8,330,734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8,729,860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products sold</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1,634,181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1,658,789</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Selling and marketing</w:t>
            </w: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3,707,676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3,436,932</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1,722,555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1,399,687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2,036,284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2,536,739</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1,076,039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1,021,645</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10,176,735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10,053,792</w:t>
            </w:r>
          </w:p>
        </w:tc>
      </w:tr>
      <w:tr>
        <w:trPr>
          <w:trHeight w:val="27"/>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(1,846,001)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(1,323,932)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29,888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115,861</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(60,911)</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Income (loss) from continuing operations before income taxes</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(1,849,178)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(1,268,982)</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81,428</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(1,883,418)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(1,187,554)</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818,273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1,147,136</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(1,065,145)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(40,418)</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 subsidiary attributable to 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(33,460)</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Net income (loss) attributable to common shareholders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(1,055,620)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(73,878)</w:t>
            </w:r>
          </w:p>
        </w:tc>
      </w:tr>
      <w:tr>
        <w:trPr>
          <w:trHeight w:val="67"/>
        </w:trPr>
        <w:tc>
          <w:tcPr>
            <w:tcW w:w="75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attributable to common shareholders</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 Continuing operations - 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Discontinued operations - basic</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37"/>
        </w:trPr>
        <w:tc>
          <w:tcPr>
            <w:tcW w:w="75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7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 Continuing operations - 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Discontinued operations - diluted</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36"/>
        </w:trPr>
        <w:tc>
          <w:tcPr>
            <w:tcW w:w="75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54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basic</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15,240,614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15,472,952</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 diluted</w:t>
            </w: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15,578,309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15,891,570</w:t>
            </w:r>
          </w:p>
        </w:tc>
      </w:tr>
      <w:tr>
        <w:trPr>
          <w:trHeight w:val="189"/>
        </w:trPr>
        <w:tc>
          <w:tcPr>
            <w:tcW w:w="7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common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(1,055,620)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(73,878)</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Comprehensive (income) loss at subsidiary attributable to noncontrolling interests</w:t>
            </w: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9,525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(33,460)</w:t>
            </w:r>
          </w:p>
        </w:tc>
      </w:tr>
      <w:tr>
        <w:trPr>
          <w:trHeight w:val="27"/>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(1,065,145)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(40,418)</w:t>
            </w:r>
          </w:p>
        </w:tc>
      </w:tr>
      <w:tr>
        <w:trPr>
          <w:trHeight w:val="196"/>
        </w:trPr>
        <w:tc>
          <w:tcPr>
            <w:tcW w:w="7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bl>
    <w:p>
      <w:pPr>
        <w:sectPr>
          <w:pgSz w:w="11900" w:h="16838" w:orient="portrait"/>
          <w:cols w:equalWidth="0" w:num="1">
            <w:col w:w="11240"/>
          </w:cols>
          <w:pgMar w:left="320" w:top="55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left="591"/>
              <w:spacing w:after="0"/>
              <w:rPr>
                <w:sz w:val="20"/>
                <w:szCs w:val="20"/>
                <w:color w:val="auto"/>
              </w:rPr>
            </w:pPr>
            <w:r>
              <w:rPr>
                <w:rFonts w:ascii="Arial" w:cs="Arial" w:eastAsia="Arial" w:hAnsi="Arial"/>
                <w:sz w:val="14"/>
                <w:szCs w:val="14"/>
                <w:b w:val="1"/>
                <w:bCs w:val="1"/>
                <w:color w:val="auto"/>
                <w:w w:val="93"/>
              </w:rPr>
              <w:t>Three months ended March 31,</w:t>
            </w:r>
          </w:p>
        </w:tc>
        <w:tc>
          <w:tcPr>
            <w:tcW w:w="1100" w:type="dxa"/>
            <w:vAlign w:val="bottom"/>
            <w:tcBorders>
              <w:bottom w:val="single" w:sz="8" w:color="auto"/>
            </w:tcBorders>
          </w:tcPr>
          <w:p>
            <w:pPr>
              <w:spacing w:after="0"/>
              <w:rPr>
                <w:sz w:val="16"/>
                <w:szCs w:val="16"/>
                <w:color w:val="auto"/>
              </w:rPr>
            </w:pPr>
          </w:p>
        </w:tc>
      </w:tr>
      <w:tr>
        <w:trPr>
          <w:trHeight w:val="263"/>
        </w:trPr>
        <w:tc>
          <w:tcPr>
            <w:tcW w:w="69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(1,065,145)</w:t>
            </w:r>
          </w:p>
        </w:tc>
        <w:tc>
          <w:tcPr>
            <w:tcW w:w="13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(40,418)</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818,273</w:t>
            </w:r>
          </w:p>
        </w:tc>
        <w:tc>
          <w:tcPr>
            <w:tcW w:w="138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1,147,136</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Net income(loss) from continuing operations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(1,883,418)</w:t>
            </w:r>
          </w:p>
        </w:tc>
        <w:tc>
          <w:tcPr>
            <w:tcW w:w="74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(1,187,554)</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from continuing operations to net cash</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provided by (used in) operating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9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1,152,062</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1,076,246</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43,605</w:t>
            </w:r>
          </w:p>
        </w:tc>
      </w:tr>
      <w:tr>
        <w:trPr>
          <w:trHeight w:val="243"/>
        </w:trPr>
        <w:tc>
          <w:tcPr>
            <w:tcW w:w="694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264,574</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364,434</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non-cash contingent consideration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(543,006)</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(269,422)</w:t>
            </w:r>
          </w:p>
        </w:tc>
      </w:tr>
      <w:tr>
        <w:trPr>
          <w:trHeight w:val="243"/>
        </w:trPr>
        <w:tc>
          <w:tcPr>
            <w:tcW w:w="694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11,333</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10,497</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investment gains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(44,191)</w:t>
            </w:r>
          </w:p>
        </w:tc>
      </w:tr>
      <w:tr>
        <w:trPr>
          <w:trHeight w:val="243"/>
        </w:trPr>
        <w:tc>
          <w:tcPr>
            <w:tcW w:w="6940" w:type="dxa"/>
            <w:vAlign w:val="bottom"/>
          </w:tcPr>
          <w:p>
            <w:pPr>
              <w:ind w:left="72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2,014,438</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(1,361,692)</w:t>
            </w:r>
          </w:p>
        </w:tc>
      </w:tr>
      <w:tr>
        <w:trPr>
          <w:trHeight w:val="243"/>
        </w:trPr>
        <w:tc>
          <w:tcPr>
            <w:tcW w:w="69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706,102</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494,395</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current assets and 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1,093,517</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134,578</w:t>
            </w:r>
          </w:p>
        </w:tc>
      </w:tr>
      <w:tr>
        <w:trPr>
          <w:trHeight w:val="243"/>
        </w:trPr>
        <w:tc>
          <w:tcPr>
            <w:tcW w:w="6940" w:type="dxa"/>
            <w:vAlign w:val="bottom"/>
          </w:tcPr>
          <w:p>
            <w:pPr>
              <w:ind w:left="1140"/>
              <w:spacing w:after="0"/>
              <w:rPr>
                <w:sz w:val="20"/>
                <w:szCs w:val="20"/>
                <w:color w:val="auto"/>
              </w:rPr>
            </w:pPr>
            <w:r>
              <w:rPr>
                <w:rFonts w:ascii="Arial" w:cs="Arial" w:eastAsia="Arial" w:hAnsi="Arial"/>
                <w:sz w:val="18"/>
                <w:szCs w:val="18"/>
                <w:color w:val="auto"/>
              </w:rPr>
              <w:t>Accounts payable and other current liabilities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(2,394,824)</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474,354</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(865,109)</w:t>
            </w:r>
          </w:p>
        </w:tc>
        <w:tc>
          <w:tcPr>
            <w:tcW w:w="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(353,925)</w:t>
            </w:r>
          </w:p>
        </w:tc>
      </w:tr>
      <w:tr>
        <w:trPr>
          <w:trHeight w:val="237"/>
        </w:trPr>
        <w:tc>
          <w:tcPr>
            <w:tcW w:w="694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(444,331)</w:t>
            </w:r>
          </w:p>
        </w:tc>
        <w:tc>
          <w:tcPr>
            <w:tcW w:w="7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(618,675)</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1,332,870</w:t>
            </w:r>
          </w:p>
        </w:tc>
        <w:tc>
          <w:tcPr>
            <w:tcW w:w="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232,942</w:t>
            </w:r>
          </w:p>
        </w:tc>
      </w:tr>
      <w:tr>
        <w:trPr>
          <w:trHeight w:val="237"/>
        </w:trPr>
        <w:tc>
          <w:tcPr>
            <w:tcW w:w="694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888,539</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888,539</w:t>
            </w:r>
          </w:p>
        </w:tc>
        <w:tc>
          <w:tcPr>
            <w:tcW w:w="6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(385,733)</w:t>
            </w:r>
          </w:p>
        </w:tc>
      </w:tr>
      <w:tr>
        <w:trPr>
          <w:trHeight w:val="27"/>
        </w:trPr>
        <w:tc>
          <w:tcPr>
            <w:tcW w:w="6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Additions to property and equipment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(22,726)</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(27,474)</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marketable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(7,816,191)</w:t>
            </w: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Proceeds from sale of marketable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6,483,988</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intangibles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(548,435)</w:t>
            </w:r>
          </w:p>
        </w:tc>
        <w:tc>
          <w:tcPr>
            <w:tcW w:w="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(363,711)</w:t>
            </w:r>
          </w:p>
        </w:tc>
      </w:tr>
      <w:tr>
        <w:trPr>
          <w:trHeight w:val="237"/>
        </w:trPr>
        <w:tc>
          <w:tcPr>
            <w:tcW w:w="69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(571,161)</w:t>
            </w:r>
          </w:p>
        </w:tc>
        <w:tc>
          <w:tcPr>
            <w:tcW w:w="7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(1,723,388)</w:t>
            </w:r>
          </w:p>
        </w:tc>
      </w:tr>
      <w:tr>
        <w:trPr>
          <w:trHeight w:val="27"/>
        </w:trPr>
        <w:tc>
          <w:tcPr>
            <w:tcW w:w="6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Borrowings on line of credit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18,500,000</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19,000,000</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on line of credit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(19,000,000)</w:t>
            </w: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Cash payment of contingent consideration</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(260,735)</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(507,505)</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subsidiary shares to noncontrolling interest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Repurchase of common shares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(442,544)</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(712,919)</w:t>
            </w:r>
          </w:p>
        </w:tc>
      </w:tr>
      <w:tr>
        <w:trPr>
          <w:trHeight w:val="27"/>
        </w:trPr>
        <w:tc>
          <w:tcPr>
            <w:tcW w:w="6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(1,503,279)</w:t>
            </w:r>
          </w:p>
        </w:tc>
        <w:tc>
          <w:tcPr>
            <w:tcW w:w="7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(1,220,424)</w:t>
            </w:r>
          </w:p>
        </w:tc>
      </w:tr>
      <w:tr>
        <w:trPr>
          <w:trHeight w:val="237"/>
        </w:trPr>
        <w:tc>
          <w:tcPr>
            <w:tcW w:w="6940" w:type="dxa"/>
            <w:vAlign w:val="bottom"/>
          </w:tcPr>
          <w:p>
            <w:pPr>
              <w:ind w:left="72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(1,185,901)</w:t>
            </w:r>
          </w:p>
        </w:tc>
        <w:tc>
          <w:tcPr>
            <w:tcW w:w="7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(3,329,545)</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28,212,635</w:t>
            </w:r>
          </w:p>
        </w:tc>
        <w:tc>
          <w:tcPr>
            <w:tcW w:w="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27,938,960</w:t>
            </w:r>
          </w:p>
        </w:tc>
      </w:tr>
      <w:tr>
        <w:trPr>
          <w:trHeight w:val="236"/>
        </w:trPr>
        <w:tc>
          <w:tcPr>
            <w:tcW w:w="69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27,026,734</w:t>
            </w:r>
          </w:p>
        </w:tc>
        <w:tc>
          <w:tcPr>
            <w:tcW w:w="74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24,609,415</w:t>
            </w:r>
          </w:p>
        </w:tc>
      </w:tr>
      <w:tr>
        <w:trPr>
          <w:trHeight w:val="27"/>
        </w:trPr>
        <w:tc>
          <w:tcPr>
            <w:tcW w:w="6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53" w:right="339" w:bottom="1440" w:gutter="0" w:footer="0" w:header="0"/>
        </w:sectPr>
      </w:pPr>
    </w:p>
    <w:bookmarkStart w:id="12" w:name="page13"/>
    <w:bookmarkEnd w:id="12"/>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Three months ended 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w w:val="90"/>
              </w:rPr>
              <w:t>Earnings per</w:t>
            </w:r>
          </w:p>
        </w:tc>
        <w:tc>
          <w:tcPr>
            <w:tcW w:w="120" w:type="dxa"/>
            <w:vAlign w:val="bottom"/>
          </w:tcPr>
          <w:p>
            <w:pPr>
              <w:spacing w:after="0"/>
              <w:rPr>
                <w:sz w:val="19"/>
                <w:szCs w:val="1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Earnings per</w:t>
            </w: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w w:val="89"/>
              </w:rPr>
              <w:t>share impact</w:t>
            </w: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share impact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loss at subsidiary attributable to noncontrolling</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818,273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1,147,136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Adjustments to net income (loss) from continuing operations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1,152,062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1,076,246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(a)</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Impact of Vibativ cost of product sold (b)</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600,691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551,494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Adjusted Earnings (loss) from continuing operations and Adjusted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171,326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668,242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1"/>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from continuing operations Per Share</w:t>
            </w:r>
          </w:p>
        </w:tc>
        <w:tc>
          <w:tcPr>
            <w:tcW w:w="1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15,578,309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15,891,570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25" w:right="339" w:bottom="1440" w:gutter="0" w:footer="0" w:header="0"/>
        </w:sectPr>
      </w:pPr>
    </w:p>
    <w:bookmarkStart w:id="13" w:name="page14"/>
    <w:bookmarkEnd w:id="13"/>
    <w:p>
      <w:pPr>
        <w:ind w:right="180"/>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79" w:lineRule="exact"/>
        <w:rPr>
          <w:sz w:val="20"/>
          <w:szCs w:val="20"/>
          <w:color w:val="auto"/>
        </w:rPr>
      </w:pPr>
    </w:p>
    <w:p>
      <w:pPr>
        <w:ind w:left="660" w:hanging="328"/>
        <w:spacing w:after="0" w:line="349"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Adjusted Earnings (loss): </w:t>
      </w:r>
      <w:r>
        <w:rPr>
          <w:rFonts w:ascii="Arial" w:cs="Arial" w:eastAsia="Arial" w:hAnsi="Arial"/>
          <w:sz w:val="19"/>
          <w:szCs w:val="19"/>
          <w:color w:val="auto"/>
        </w:rPr>
        <w:t>net income (loss) adjusted for the impact of income taxes, depreciation and amortization</w:t>
      </w:r>
      <w:r>
        <w:rPr>
          <w:rFonts w:ascii="Arial" w:cs="Arial" w:eastAsia="Arial" w:hAnsi="Arial"/>
          <w:sz w:val="19"/>
          <w:szCs w:val="19"/>
          <w:b w:val="1"/>
          <w:bCs w:val="1"/>
          <w:color w:val="auto"/>
        </w:rPr>
        <w:t xml:space="preserve"> </w:t>
      </w:r>
      <w:r>
        <w:rPr>
          <w:rFonts w:ascii="Arial" w:cs="Arial" w:eastAsia="Arial" w:hAnsi="Arial"/>
          <w:sz w:val="19"/>
          <w:szCs w:val="19"/>
          <w:color w:val="auto"/>
        </w:rPr>
        <w:t>expense, share-based compensation, Vibativ cost of product sold and interest income and interest expense.</w:t>
      </w:r>
    </w:p>
    <w:p>
      <w:pPr>
        <w:spacing w:after="0" w:line="140" w:lineRule="exact"/>
        <w:rPr>
          <w:rFonts w:ascii="Arial" w:cs="Arial" w:eastAsia="Arial" w:hAnsi="Arial"/>
          <w:sz w:val="19"/>
          <w:szCs w:val="19"/>
          <w:color w:val="auto"/>
        </w:rPr>
      </w:pPr>
    </w:p>
    <w:p>
      <w:pPr>
        <w:ind w:left="1600" w:hanging="296"/>
        <w:spacing w:after="0"/>
        <w:tabs>
          <w:tab w:leader="none" w:pos="1600" w:val="left"/>
        </w:tabs>
        <w:numPr>
          <w:ilvl w:val="1"/>
          <w:numId w:val="4"/>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60" w:lineRule="exact"/>
        <w:rPr>
          <w:rFonts w:ascii="Arial" w:cs="Arial" w:eastAsia="Arial" w:hAnsi="Arial"/>
          <w:sz w:val="22"/>
          <w:szCs w:val="22"/>
          <w:color w:val="auto"/>
        </w:rPr>
      </w:pPr>
    </w:p>
    <w:p>
      <w:pPr>
        <w:jc w:val="both"/>
        <w:ind w:left="660" w:firstLine="644"/>
        <w:spacing w:after="0" w:line="312" w:lineRule="auto"/>
        <w:tabs>
          <w:tab w:leader="none" w:pos="1616" w:val="left"/>
        </w:tabs>
        <w:numPr>
          <w:ilvl w:val="1"/>
          <w:numId w:val="4"/>
        </w:numPr>
        <w:rPr>
          <w:rFonts w:ascii="Arial" w:cs="Arial" w:eastAsia="Arial" w:hAnsi="Arial"/>
          <w:sz w:val="19"/>
          <w:szCs w:val="19"/>
          <w:color w:val="auto"/>
        </w:rPr>
      </w:pPr>
      <w:r>
        <w:rPr>
          <w:rFonts w:ascii="Arial" w:cs="Arial" w:eastAsia="Arial" w:hAnsi="Arial"/>
          <w:sz w:val="19"/>
          <w:szCs w:val="19"/>
          <w:color w:val="auto"/>
        </w:rPr>
        <w:t>Represents the non-cash impact of the Vibativ cost of products sold. Cumberland has elected to add these costs back in the calculation of adjusted earnings as all the Vibativ inventory was transferred to Cumberland as part of the transaction with Theravance at no additional cost to the consideration agreed for the product acquisition.</w:t>
      </w:r>
    </w:p>
    <w:p>
      <w:pPr>
        <w:spacing w:after="0" w:line="167" w:lineRule="exact"/>
        <w:rPr>
          <w:rFonts w:ascii="Arial" w:cs="Arial" w:eastAsia="Arial" w:hAnsi="Arial"/>
          <w:sz w:val="19"/>
          <w:szCs w:val="19"/>
          <w:color w:val="auto"/>
        </w:rPr>
      </w:pPr>
    </w:p>
    <w:p>
      <w:pPr>
        <w:ind w:left="660" w:right="20" w:hanging="328"/>
        <w:spacing w:after="0" w:line="269" w:lineRule="auto"/>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7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2020-05-20T16:22:12Z</dcterms:created>
  <dcterms:modified xsi:type="dcterms:W3CDTF">2020-05-20T16:22:12Z</dcterms:modified>
</cp:coreProperties>
</file>